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95F62C" w14:textId="70F86C67" w:rsidR="00064EFE" w:rsidRPr="00F5793D" w:rsidRDefault="00064EFE">
      <w:pPr>
        <w:rPr>
          <w:rFonts w:ascii="Arial" w:hAnsi="Arial" w:cs="Arial"/>
          <w:b/>
          <w:bCs/>
          <w:sz w:val="22"/>
          <w:szCs w:val="22"/>
          <w:u w:val="single"/>
        </w:rPr>
      </w:pPr>
      <w:r w:rsidRPr="00F5793D">
        <w:rPr>
          <w:rFonts w:ascii="Arial" w:hAnsi="Arial" w:cs="Arial"/>
          <w:b/>
          <w:bCs/>
          <w:sz w:val="22"/>
          <w:szCs w:val="22"/>
          <w:u w:val="single"/>
        </w:rPr>
        <w:t xml:space="preserve">Data Migration </w:t>
      </w:r>
      <w:r w:rsidR="00EB59A4" w:rsidRPr="00F5793D">
        <w:rPr>
          <w:rFonts w:ascii="Arial" w:hAnsi="Arial" w:cs="Arial"/>
          <w:b/>
          <w:bCs/>
          <w:sz w:val="22"/>
          <w:szCs w:val="22"/>
          <w:u w:val="single"/>
        </w:rPr>
        <w:t xml:space="preserve">Response for RFPs </w:t>
      </w:r>
    </w:p>
    <w:p w14:paraId="7F20A3F9" w14:textId="77777777" w:rsidR="00064EFE" w:rsidRPr="00F5793D" w:rsidRDefault="00064EFE">
      <w:pPr>
        <w:rPr>
          <w:rFonts w:ascii="Arial" w:hAnsi="Arial" w:cs="Arial"/>
          <w:sz w:val="22"/>
          <w:szCs w:val="22"/>
        </w:rPr>
      </w:pPr>
    </w:p>
    <w:p w14:paraId="69E14E36" w14:textId="2745B5D6" w:rsidR="007B1F1D" w:rsidRPr="00F5793D" w:rsidRDefault="00D6262F" w:rsidP="007B1F1D">
      <w:pPr>
        <w:rPr>
          <w:rFonts w:ascii="Arial" w:hAnsi="Arial" w:cs="Arial"/>
          <w:sz w:val="22"/>
          <w:szCs w:val="22"/>
        </w:rPr>
      </w:pPr>
      <w:r w:rsidRPr="00F5793D">
        <w:rPr>
          <w:rFonts w:ascii="Arial" w:hAnsi="Arial" w:cs="Arial"/>
          <w:sz w:val="22"/>
          <w:szCs w:val="22"/>
        </w:rPr>
        <w:t>Customers</w:t>
      </w:r>
      <w:r w:rsidR="00EB59A4" w:rsidRPr="00F5793D">
        <w:rPr>
          <w:rFonts w:ascii="Arial" w:hAnsi="Arial" w:cs="Arial"/>
          <w:sz w:val="22"/>
          <w:szCs w:val="22"/>
        </w:rPr>
        <w:t xml:space="preserve"> make the</w:t>
      </w:r>
      <w:r w:rsidRPr="00F5793D">
        <w:rPr>
          <w:rFonts w:ascii="Arial" w:hAnsi="Arial" w:cs="Arial"/>
          <w:sz w:val="22"/>
          <w:szCs w:val="22"/>
        </w:rPr>
        <w:t xml:space="preserve"> switch to Convercent from a range of systems and other solutions; from other vendor</w:t>
      </w:r>
      <w:r w:rsidR="007B1F1D" w:rsidRPr="00F5793D">
        <w:rPr>
          <w:rFonts w:ascii="Arial" w:hAnsi="Arial" w:cs="Arial"/>
          <w:sz w:val="22"/>
          <w:szCs w:val="22"/>
        </w:rPr>
        <w:t xml:space="preserve">s’ systems, </w:t>
      </w:r>
      <w:r w:rsidRPr="00F5793D">
        <w:rPr>
          <w:rFonts w:ascii="Arial" w:hAnsi="Arial" w:cs="Arial"/>
          <w:sz w:val="22"/>
          <w:szCs w:val="22"/>
        </w:rPr>
        <w:t>to internal systems</w:t>
      </w:r>
      <w:r w:rsidR="00E44844" w:rsidRPr="00F5793D">
        <w:rPr>
          <w:rFonts w:ascii="Arial" w:hAnsi="Arial" w:cs="Arial"/>
          <w:sz w:val="22"/>
          <w:szCs w:val="22"/>
        </w:rPr>
        <w:t xml:space="preserve">, </w:t>
      </w:r>
      <w:r w:rsidR="007B1F1D" w:rsidRPr="00F5793D">
        <w:rPr>
          <w:rFonts w:ascii="Arial" w:hAnsi="Arial" w:cs="Arial"/>
          <w:sz w:val="22"/>
          <w:szCs w:val="22"/>
        </w:rPr>
        <w:t>to</w:t>
      </w:r>
      <w:r w:rsidRPr="00F5793D">
        <w:rPr>
          <w:rFonts w:ascii="Arial" w:hAnsi="Arial" w:cs="Arial"/>
          <w:sz w:val="22"/>
          <w:szCs w:val="22"/>
        </w:rPr>
        <w:t xml:space="preserve"> systems designed to perform other core functions. What and how they track E&amp;C cases and data can </w:t>
      </w:r>
      <w:r w:rsidR="007B1F1D" w:rsidRPr="00F5793D">
        <w:rPr>
          <w:rFonts w:ascii="Arial" w:hAnsi="Arial" w:cs="Arial"/>
          <w:sz w:val="22"/>
          <w:szCs w:val="22"/>
        </w:rPr>
        <w:t xml:space="preserve">also </w:t>
      </w:r>
      <w:r w:rsidRPr="00F5793D">
        <w:rPr>
          <w:rFonts w:ascii="Arial" w:hAnsi="Arial" w:cs="Arial"/>
          <w:sz w:val="22"/>
          <w:szCs w:val="22"/>
        </w:rPr>
        <w:t>vary greatly</w:t>
      </w:r>
      <w:r w:rsidR="007B1F1D" w:rsidRPr="00F5793D">
        <w:rPr>
          <w:rFonts w:ascii="Arial" w:hAnsi="Arial" w:cs="Arial"/>
          <w:sz w:val="22"/>
          <w:szCs w:val="22"/>
        </w:rPr>
        <w:t xml:space="preserve"> between companies</w:t>
      </w:r>
      <w:r w:rsidRPr="00F5793D">
        <w:rPr>
          <w:rFonts w:ascii="Arial" w:hAnsi="Arial" w:cs="Arial"/>
          <w:sz w:val="22"/>
          <w:szCs w:val="22"/>
        </w:rPr>
        <w:t xml:space="preserve">. As a </w:t>
      </w:r>
      <w:r w:rsidR="00F5793D" w:rsidRPr="00F5793D">
        <w:rPr>
          <w:rFonts w:ascii="Arial" w:hAnsi="Arial" w:cs="Arial"/>
          <w:sz w:val="22"/>
          <w:szCs w:val="22"/>
        </w:rPr>
        <w:t>result,</w:t>
      </w:r>
      <w:r w:rsidRPr="00F5793D">
        <w:rPr>
          <w:rFonts w:ascii="Arial" w:hAnsi="Arial" w:cs="Arial"/>
          <w:sz w:val="22"/>
          <w:szCs w:val="22"/>
        </w:rPr>
        <w:t xml:space="preserve"> </w:t>
      </w:r>
      <w:r w:rsidR="00064EFE" w:rsidRPr="00F5793D">
        <w:rPr>
          <w:rFonts w:ascii="Arial" w:hAnsi="Arial" w:cs="Arial"/>
          <w:sz w:val="22"/>
          <w:szCs w:val="22"/>
        </w:rPr>
        <w:t xml:space="preserve">Convercent has dedicated Migration Specialists who manage the entire migration process; they will work with you, utilizing best practices, to ensure you are leveraging your </w:t>
      </w:r>
      <w:r w:rsidRPr="00F5793D">
        <w:rPr>
          <w:rFonts w:ascii="Arial" w:hAnsi="Arial" w:cs="Arial"/>
          <w:sz w:val="22"/>
          <w:szCs w:val="22"/>
        </w:rPr>
        <w:t xml:space="preserve">legacy </w:t>
      </w:r>
      <w:r w:rsidR="00064EFE" w:rsidRPr="00F5793D">
        <w:rPr>
          <w:rFonts w:ascii="Arial" w:hAnsi="Arial" w:cs="Arial"/>
          <w:sz w:val="22"/>
          <w:szCs w:val="22"/>
        </w:rPr>
        <w:t xml:space="preserve">data in the best way possible. </w:t>
      </w:r>
    </w:p>
    <w:p w14:paraId="115F1370" w14:textId="77777777" w:rsidR="005F2F32" w:rsidRPr="00F5793D" w:rsidRDefault="005F2F32" w:rsidP="00064EFE">
      <w:pPr>
        <w:rPr>
          <w:rFonts w:ascii="Arial" w:hAnsi="Arial" w:cs="Arial"/>
          <w:sz w:val="22"/>
          <w:szCs w:val="22"/>
        </w:rPr>
      </w:pPr>
    </w:p>
    <w:p w14:paraId="478582C7" w14:textId="2B8CA3DA" w:rsidR="005F2F32" w:rsidRPr="00F5793D" w:rsidRDefault="005F2F32" w:rsidP="005F2F32">
      <w:pPr>
        <w:rPr>
          <w:rFonts w:ascii="Arial" w:hAnsi="Arial" w:cs="Arial"/>
          <w:sz w:val="22"/>
          <w:szCs w:val="22"/>
        </w:rPr>
      </w:pPr>
      <w:r w:rsidRPr="00F5793D">
        <w:rPr>
          <w:rFonts w:ascii="Arial" w:hAnsi="Arial" w:cs="Arial"/>
          <w:sz w:val="22"/>
          <w:szCs w:val="22"/>
        </w:rPr>
        <w:t xml:space="preserve">Customers have a few options when it comes to data migration and we have different Professional Services packages which support the different options. </w:t>
      </w:r>
    </w:p>
    <w:p w14:paraId="06D60D4B" w14:textId="77777777" w:rsidR="005F2F32" w:rsidRPr="00F5793D" w:rsidRDefault="005F2F32" w:rsidP="00064EFE">
      <w:pPr>
        <w:rPr>
          <w:rFonts w:ascii="Arial" w:hAnsi="Arial" w:cs="Arial"/>
          <w:b/>
          <w:bCs/>
          <w:sz w:val="22"/>
          <w:szCs w:val="22"/>
        </w:rPr>
      </w:pPr>
    </w:p>
    <w:p w14:paraId="1CFED3F8" w14:textId="1293DF73" w:rsidR="00362B7F" w:rsidRPr="00F5793D" w:rsidRDefault="00D6262F" w:rsidP="00F5793D">
      <w:pPr>
        <w:pBdr>
          <w:top w:val="single" w:sz="4" w:space="1" w:color="auto"/>
          <w:left w:val="single" w:sz="4" w:space="4" w:color="auto"/>
          <w:bottom w:val="single" w:sz="4" w:space="1" w:color="auto"/>
          <w:right w:val="single" w:sz="4" w:space="4" w:color="auto"/>
        </w:pBdr>
        <w:rPr>
          <w:rFonts w:ascii="Arial" w:hAnsi="Arial" w:cs="Arial"/>
          <w:b/>
          <w:bCs/>
          <w:sz w:val="22"/>
          <w:szCs w:val="22"/>
        </w:rPr>
      </w:pPr>
      <w:r w:rsidRPr="00F5793D">
        <w:rPr>
          <w:rFonts w:ascii="Arial" w:hAnsi="Arial" w:cs="Arial"/>
          <w:b/>
          <w:bCs/>
          <w:sz w:val="22"/>
          <w:szCs w:val="22"/>
        </w:rPr>
        <w:t>1</w:t>
      </w:r>
      <w:r w:rsidR="00064EFE" w:rsidRPr="00F5793D">
        <w:rPr>
          <w:rFonts w:ascii="Arial" w:hAnsi="Arial" w:cs="Arial"/>
          <w:b/>
          <w:bCs/>
          <w:sz w:val="22"/>
          <w:szCs w:val="22"/>
        </w:rPr>
        <w:t xml:space="preserve"> – </w:t>
      </w:r>
      <w:r w:rsidR="00C25C69" w:rsidRPr="00F5793D">
        <w:rPr>
          <w:rFonts w:ascii="Arial" w:hAnsi="Arial" w:cs="Arial"/>
          <w:b/>
          <w:bCs/>
          <w:sz w:val="22"/>
          <w:szCs w:val="22"/>
        </w:rPr>
        <w:t>Basic</w:t>
      </w:r>
      <w:r w:rsidR="00064EFE" w:rsidRPr="00F5793D">
        <w:rPr>
          <w:rFonts w:ascii="Arial" w:hAnsi="Arial" w:cs="Arial"/>
          <w:b/>
          <w:bCs/>
          <w:sz w:val="22"/>
          <w:szCs w:val="22"/>
        </w:rPr>
        <w:t xml:space="preserve"> Migration </w:t>
      </w:r>
      <w:r w:rsidR="001949B5" w:rsidRPr="00F5793D">
        <w:rPr>
          <w:rFonts w:ascii="Arial" w:hAnsi="Arial" w:cs="Arial"/>
          <w:b/>
          <w:bCs/>
          <w:sz w:val="22"/>
          <w:szCs w:val="22"/>
        </w:rPr>
        <w:t xml:space="preserve">to Convercent </w:t>
      </w:r>
      <w:r w:rsidR="00064EFE" w:rsidRPr="00F5793D">
        <w:rPr>
          <w:rFonts w:ascii="Arial" w:hAnsi="Arial" w:cs="Arial"/>
          <w:b/>
          <w:bCs/>
          <w:sz w:val="22"/>
          <w:szCs w:val="22"/>
        </w:rPr>
        <w:t xml:space="preserve">– </w:t>
      </w:r>
      <w:r w:rsidR="00F5793D" w:rsidRPr="00F5793D">
        <w:rPr>
          <w:rFonts w:ascii="Arial" w:hAnsi="Arial" w:cs="Arial"/>
          <w:b/>
          <w:bCs/>
          <w:sz w:val="22"/>
          <w:szCs w:val="22"/>
        </w:rPr>
        <w:t xml:space="preserve">Metric-Driving </w:t>
      </w:r>
      <w:r w:rsidR="00F5793D">
        <w:rPr>
          <w:rFonts w:ascii="Arial" w:hAnsi="Arial" w:cs="Arial"/>
          <w:b/>
          <w:bCs/>
          <w:sz w:val="22"/>
          <w:szCs w:val="22"/>
        </w:rPr>
        <w:t>data only</w:t>
      </w:r>
    </w:p>
    <w:p w14:paraId="029AE264" w14:textId="77777777" w:rsidR="00C25C69" w:rsidRPr="00F5793D" w:rsidRDefault="00C25C69" w:rsidP="00F5793D">
      <w:pPr>
        <w:pBdr>
          <w:top w:val="single" w:sz="4" w:space="1" w:color="auto"/>
          <w:left w:val="single" w:sz="4" w:space="4" w:color="auto"/>
          <w:bottom w:val="single" w:sz="4" w:space="1" w:color="auto"/>
          <w:right w:val="single" w:sz="4" w:space="4" w:color="auto"/>
        </w:pBdr>
        <w:rPr>
          <w:rFonts w:ascii="Arial" w:hAnsi="Arial" w:cs="Arial"/>
          <w:b/>
          <w:bCs/>
          <w:sz w:val="22"/>
          <w:szCs w:val="22"/>
        </w:rPr>
      </w:pPr>
    </w:p>
    <w:p w14:paraId="46AC5074" w14:textId="1F14EA37" w:rsidR="001949B5" w:rsidRPr="00F5793D" w:rsidRDefault="00064EFE" w:rsidP="00F5793D">
      <w:pPr>
        <w:pBdr>
          <w:top w:val="single" w:sz="4" w:space="1" w:color="auto"/>
          <w:left w:val="single" w:sz="4" w:space="4" w:color="auto"/>
          <w:bottom w:val="single" w:sz="4" w:space="1" w:color="auto"/>
          <w:right w:val="single" w:sz="4" w:space="4" w:color="auto"/>
        </w:pBdr>
        <w:rPr>
          <w:rFonts w:ascii="Arial" w:hAnsi="Arial" w:cs="Arial"/>
          <w:sz w:val="22"/>
          <w:szCs w:val="22"/>
        </w:rPr>
      </w:pPr>
      <w:r w:rsidRPr="00F5793D">
        <w:rPr>
          <w:rFonts w:ascii="Arial" w:hAnsi="Arial" w:cs="Arial"/>
          <w:sz w:val="22"/>
          <w:szCs w:val="22"/>
        </w:rPr>
        <w:t xml:space="preserve">Convercent </w:t>
      </w:r>
      <w:r w:rsidR="007B1F1D" w:rsidRPr="00F5793D">
        <w:rPr>
          <w:rFonts w:ascii="Arial" w:hAnsi="Arial" w:cs="Arial"/>
          <w:sz w:val="22"/>
          <w:szCs w:val="22"/>
        </w:rPr>
        <w:t>can</w:t>
      </w:r>
      <w:r w:rsidRPr="00F5793D">
        <w:rPr>
          <w:rFonts w:ascii="Arial" w:hAnsi="Arial" w:cs="Arial"/>
          <w:sz w:val="22"/>
          <w:szCs w:val="22"/>
        </w:rPr>
        <w:t xml:space="preserve"> migrate ‘top-level’ information that supports </w:t>
      </w:r>
      <w:r w:rsidRPr="00F5793D">
        <w:rPr>
          <w:rFonts w:ascii="Arial" w:hAnsi="Arial" w:cs="Arial"/>
          <w:b/>
          <w:bCs/>
          <w:sz w:val="22"/>
          <w:szCs w:val="22"/>
        </w:rPr>
        <w:t>metric reporting</w:t>
      </w:r>
      <w:r w:rsidR="001949B5" w:rsidRPr="00F5793D">
        <w:rPr>
          <w:rFonts w:ascii="Arial" w:hAnsi="Arial" w:cs="Arial"/>
          <w:sz w:val="22"/>
          <w:szCs w:val="22"/>
        </w:rPr>
        <w:t xml:space="preserve">, </w:t>
      </w:r>
      <w:r w:rsidR="007B1F1D" w:rsidRPr="00F5793D">
        <w:rPr>
          <w:rFonts w:ascii="Arial" w:hAnsi="Arial" w:cs="Arial"/>
          <w:sz w:val="22"/>
          <w:szCs w:val="22"/>
        </w:rPr>
        <w:t xml:space="preserve">from the legacy system to Convercent - </w:t>
      </w:r>
      <w:r w:rsidR="001949B5" w:rsidRPr="00F5793D">
        <w:rPr>
          <w:rFonts w:ascii="Arial" w:hAnsi="Arial" w:cs="Arial"/>
          <w:sz w:val="22"/>
          <w:szCs w:val="22"/>
        </w:rPr>
        <w:t xml:space="preserve">this is subject to which fields are available within the </w:t>
      </w:r>
      <w:r w:rsidR="00D6262F" w:rsidRPr="00F5793D">
        <w:rPr>
          <w:rFonts w:ascii="Arial" w:hAnsi="Arial" w:cs="Arial"/>
          <w:sz w:val="22"/>
          <w:szCs w:val="22"/>
        </w:rPr>
        <w:t xml:space="preserve">legacy </w:t>
      </w:r>
      <w:r w:rsidR="001949B5" w:rsidRPr="00F5793D">
        <w:rPr>
          <w:rFonts w:ascii="Arial" w:hAnsi="Arial" w:cs="Arial"/>
          <w:sz w:val="22"/>
          <w:szCs w:val="22"/>
        </w:rPr>
        <w:t xml:space="preserve">data itself, but typically includes </w:t>
      </w:r>
      <w:r w:rsidR="00B2264B" w:rsidRPr="00F5793D">
        <w:rPr>
          <w:rFonts w:ascii="Arial" w:hAnsi="Arial" w:cs="Arial"/>
          <w:sz w:val="22"/>
          <w:szCs w:val="22"/>
        </w:rPr>
        <w:t xml:space="preserve">case ID, open date, closed date, severity, status, location, department, intake method, resolution type and case types.  </w:t>
      </w:r>
    </w:p>
    <w:p w14:paraId="6CD5AC3D" w14:textId="77777777" w:rsidR="00B06129" w:rsidRPr="00F5793D" w:rsidRDefault="00B06129" w:rsidP="00F5793D">
      <w:pPr>
        <w:pBdr>
          <w:top w:val="single" w:sz="4" w:space="1" w:color="auto"/>
          <w:left w:val="single" w:sz="4" w:space="4" w:color="auto"/>
          <w:bottom w:val="single" w:sz="4" w:space="1" w:color="auto"/>
          <w:right w:val="single" w:sz="4" w:space="4" w:color="auto"/>
        </w:pBdr>
        <w:rPr>
          <w:rFonts w:ascii="Arial" w:hAnsi="Arial" w:cs="Arial"/>
          <w:sz w:val="22"/>
          <w:szCs w:val="22"/>
        </w:rPr>
      </w:pPr>
    </w:p>
    <w:p w14:paraId="734DC41E" w14:textId="2B3A066D" w:rsidR="003A17E4" w:rsidRPr="00F5793D" w:rsidRDefault="00064EFE" w:rsidP="00F5793D">
      <w:pPr>
        <w:pBdr>
          <w:top w:val="single" w:sz="4" w:space="1" w:color="auto"/>
          <w:left w:val="single" w:sz="4" w:space="4" w:color="auto"/>
          <w:bottom w:val="single" w:sz="4" w:space="1" w:color="auto"/>
          <w:right w:val="single" w:sz="4" w:space="4" w:color="auto"/>
        </w:pBdr>
        <w:rPr>
          <w:rFonts w:ascii="Arial" w:hAnsi="Arial" w:cs="Arial"/>
          <w:sz w:val="22"/>
          <w:szCs w:val="22"/>
        </w:rPr>
      </w:pPr>
      <w:r w:rsidRPr="00F5793D">
        <w:rPr>
          <w:rFonts w:ascii="Arial" w:hAnsi="Arial" w:cs="Arial"/>
          <w:sz w:val="22"/>
          <w:szCs w:val="22"/>
        </w:rPr>
        <w:t xml:space="preserve">This </w:t>
      </w:r>
      <w:r w:rsidR="001949B5" w:rsidRPr="00F5793D">
        <w:rPr>
          <w:rFonts w:ascii="Arial" w:hAnsi="Arial" w:cs="Arial"/>
          <w:sz w:val="22"/>
          <w:szCs w:val="22"/>
        </w:rPr>
        <w:t xml:space="preserve">metric-driving data </w:t>
      </w:r>
      <w:r w:rsidRPr="00F5793D">
        <w:rPr>
          <w:rFonts w:ascii="Arial" w:hAnsi="Arial" w:cs="Arial"/>
          <w:sz w:val="22"/>
          <w:szCs w:val="22"/>
        </w:rPr>
        <w:t xml:space="preserve">will surface in the Convercent Insights application, allowing you to </w:t>
      </w:r>
      <w:r w:rsidR="001949B5" w:rsidRPr="00F5793D">
        <w:rPr>
          <w:rFonts w:ascii="Arial" w:hAnsi="Arial" w:cs="Arial"/>
          <w:sz w:val="22"/>
          <w:szCs w:val="22"/>
        </w:rPr>
        <w:t xml:space="preserve">report on and </w:t>
      </w:r>
      <w:r w:rsidRPr="00F5793D">
        <w:rPr>
          <w:rFonts w:ascii="Arial" w:hAnsi="Arial" w:cs="Arial"/>
          <w:sz w:val="22"/>
          <w:szCs w:val="22"/>
        </w:rPr>
        <w:t>compare data from the legacy file</w:t>
      </w:r>
      <w:r w:rsidR="00B2264B" w:rsidRPr="00F5793D">
        <w:rPr>
          <w:rFonts w:ascii="Arial" w:hAnsi="Arial" w:cs="Arial"/>
          <w:sz w:val="22"/>
          <w:szCs w:val="22"/>
        </w:rPr>
        <w:t>s</w:t>
      </w:r>
      <w:r w:rsidR="001949B5" w:rsidRPr="00F5793D">
        <w:rPr>
          <w:rFonts w:ascii="Arial" w:hAnsi="Arial" w:cs="Arial"/>
          <w:sz w:val="22"/>
          <w:szCs w:val="22"/>
        </w:rPr>
        <w:t xml:space="preserve"> and </w:t>
      </w:r>
      <w:r w:rsidR="003A17E4" w:rsidRPr="00F5793D">
        <w:rPr>
          <w:rFonts w:ascii="Arial" w:hAnsi="Arial" w:cs="Arial"/>
          <w:sz w:val="22"/>
          <w:szCs w:val="22"/>
        </w:rPr>
        <w:t xml:space="preserve">new cases in the </w:t>
      </w:r>
      <w:r w:rsidR="001949B5" w:rsidRPr="00F5793D">
        <w:rPr>
          <w:rFonts w:ascii="Arial" w:hAnsi="Arial" w:cs="Arial"/>
          <w:sz w:val="22"/>
          <w:szCs w:val="22"/>
        </w:rPr>
        <w:t>Convercent application</w:t>
      </w:r>
      <w:r w:rsidR="00D6262F" w:rsidRPr="00F5793D">
        <w:rPr>
          <w:rFonts w:ascii="Arial" w:hAnsi="Arial" w:cs="Arial"/>
          <w:sz w:val="22"/>
          <w:szCs w:val="22"/>
        </w:rPr>
        <w:t xml:space="preserve">. </w:t>
      </w:r>
    </w:p>
    <w:p w14:paraId="36D22093" w14:textId="77777777" w:rsidR="003A17E4" w:rsidRPr="00F5793D" w:rsidRDefault="003A17E4" w:rsidP="00F5793D">
      <w:pPr>
        <w:pBdr>
          <w:top w:val="single" w:sz="4" w:space="1" w:color="auto"/>
          <w:left w:val="single" w:sz="4" w:space="4" w:color="auto"/>
          <w:bottom w:val="single" w:sz="4" w:space="1" w:color="auto"/>
          <w:right w:val="single" w:sz="4" w:space="4" w:color="auto"/>
        </w:pBdr>
        <w:rPr>
          <w:rFonts w:ascii="Arial" w:hAnsi="Arial" w:cs="Arial"/>
          <w:sz w:val="22"/>
          <w:szCs w:val="22"/>
        </w:rPr>
      </w:pPr>
    </w:p>
    <w:p w14:paraId="0140BF13" w14:textId="452747B7" w:rsidR="003A17E4" w:rsidRPr="00F5793D" w:rsidRDefault="00D6262F" w:rsidP="00F5793D">
      <w:pPr>
        <w:pBdr>
          <w:top w:val="single" w:sz="4" w:space="1" w:color="auto"/>
          <w:left w:val="single" w:sz="4" w:space="4" w:color="auto"/>
          <w:bottom w:val="single" w:sz="4" w:space="1" w:color="auto"/>
          <w:right w:val="single" w:sz="4" w:space="4" w:color="auto"/>
        </w:pBdr>
        <w:rPr>
          <w:rFonts w:ascii="Arial" w:hAnsi="Arial" w:cs="Arial"/>
          <w:sz w:val="22"/>
          <w:szCs w:val="22"/>
        </w:rPr>
      </w:pPr>
      <w:r w:rsidRPr="00F5793D">
        <w:rPr>
          <w:rFonts w:ascii="Arial" w:hAnsi="Arial" w:cs="Arial"/>
          <w:sz w:val="22"/>
          <w:szCs w:val="22"/>
        </w:rPr>
        <w:t xml:space="preserve">The </w:t>
      </w:r>
      <w:r w:rsidR="003A17E4" w:rsidRPr="00F5793D">
        <w:rPr>
          <w:rFonts w:ascii="Arial" w:hAnsi="Arial" w:cs="Arial"/>
          <w:sz w:val="22"/>
          <w:szCs w:val="22"/>
        </w:rPr>
        <w:t xml:space="preserve">legacy </w:t>
      </w:r>
      <w:r w:rsidRPr="00F5793D">
        <w:rPr>
          <w:rFonts w:ascii="Arial" w:hAnsi="Arial" w:cs="Arial"/>
          <w:sz w:val="22"/>
          <w:szCs w:val="22"/>
        </w:rPr>
        <w:t xml:space="preserve">data </w:t>
      </w:r>
      <w:r w:rsidR="003A17E4" w:rsidRPr="00F5793D">
        <w:rPr>
          <w:rFonts w:ascii="Arial" w:hAnsi="Arial" w:cs="Arial"/>
          <w:sz w:val="22"/>
          <w:szCs w:val="22"/>
        </w:rPr>
        <w:t>migrated</w:t>
      </w:r>
      <w:r w:rsidRPr="00F5793D">
        <w:rPr>
          <w:rFonts w:ascii="Arial" w:hAnsi="Arial" w:cs="Arial"/>
          <w:sz w:val="22"/>
          <w:szCs w:val="22"/>
        </w:rPr>
        <w:t xml:space="preserve"> across for each case itself will </w:t>
      </w:r>
      <w:r w:rsidRPr="00F5793D">
        <w:rPr>
          <w:rFonts w:ascii="Arial" w:hAnsi="Arial" w:cs="Arial"/>
          <w:b/>
          <w:bCs/>
          <w:sz w:val="22"/>
          <w:szCs w:val="22"/>
          <w:u w:val="single"/>
        </w:rPr>
        <w:t>also</w:t>
      </w:r>
      <w:r w:rsidRPr="00F5793D">
        <w:rPr>
          <w:rFonts w:ascii="Arial" w:hAnsi="Arial" w:cs="Arial"/>
          <w:sz w:val="22"/>
          <w:szCs w:val="22"/>
        </w:rPr>
        <w:t xml:space="preserve"> be viewable within Convercent Case Manager, however, a</w:t>
      </w:r>
      <w:r w:rsidR="001949B5" w:rsidRPr="00F5793D">
        <w:rPr>
          <w:rFonts w:ascii="Arial" w:hAnsi="Arial" w:cs="Arial"/>
          <w:sz w:val="22"/>
          <w:szCs w:val="22"/>
        </w:rPr>
        <w:t>s only the metric</w:t>
      </w:r>
      <w:r w:rsidRPr="00F5793D">
        <w:rPr>
          <w:rFonts w:ascii="Arial" w:hAnsi="Arial" w:cs="Arial"/>
          <w:sz w:val="22"/>
          <w:szCs w:val="22"/>
        </w:rPr>
        <w:t>-</w:t>
      </w:r>
      <w:r w:rsidR="001949B5" w:rsidRPr="00F5793D">
        <w:rPr>
          <w:rFonts w:ascii="Arial" w:hAnsi="Arial" w:cs="Arial"/>
          <w:sz w:val="22"/>
          <w:szCs w:val="22"/>
        </w:rPr>
        <w:t xml:space="preserve">driving information is pulled into Convercent, items such as </w:t>
      </w:r>
      <w:r w:rsidRPr="00F5793D">
        <w:rPr>
          <w:rFonts w:ascii="Arial" w:hAnsi="Arial" w:cs="Arial"/>
          <w:sz w:val="22"/>
          <w:szCs w:val="22"/>
        </w:rPr>
        <w:t>messages</w:t>
      </w:r>
      <w:r w:rsidR="00E44844" w:rsidRPr="00F5793D">
        <w:rPr>
          <w:rFonts w:ascii="Arial" w:hAnsi="Arial" w:cs="Arial"/>
          <w:sz w:val="22"/>
          <w:szCs w:val="22"/>
        </w:rPr>
        <w:t xml:space="preserve"> and </w:t>
      </w:r>
      <w:r w:rsidR="00B2264B" w:rsidRPr="00F5793D">
        <w:rPr>
          <w:rFonts w:ascii="Arial" w:hAnsi="Arial" w:cs="Arial"/>
          <w:sz w:val="22"/>
          <w:szCs w:val="22"/>
        </w:rPr>
        <w:t>attachment</w:t>
      </w:r>
      <w:r w:rsidR="00E44844" w:rsidRPr="00F5793D">
        <w:rPr>
          <w:rFonts w:ascii="Arial" w:hAnsi="Arial" w:cs="Arial"/>
          <w:sz w:val="22"/>
          <w:szCs w:val="22"/>
        </w:rPr>
        <w:t xml:space="preserve"> files </w:t>
      </w:r>
      <w:r w:rsidRPr="00F5793D">
        <w:rPr>
          <w:rFonts w:ascii="Arial" w:hAnsi="Arial" w:cs="Arial"/>
          <w:sz w:val="22"/>
          <w:szCs w:val="22"/>
        </w:rPr>
        <w:t>etc.. that were held within the case in the legacy system will not be visible.</w:t>
      </w:r>
      <w:r w:rsidR="003A17E4" w:rsidRPr="00F5793D">
        <w:rPr>
          <w:rFonts w:ascii="Arial" w:hAnsi="Arial" w:cs="Arial"/>
          <w:sz w:val="22"/>
          <w:szCs w:val="22"/>
        </w:rPr>
        <w:t xml:space="preserve"> </w:t>
      </w:r>
      <w:r w:rsidR="00B2264B" w:rsidRPr="00F5793D">
        <w:rPr>
          <w:rFonts w:ascii="Arial" w:hAnsi="Arial" w:cs="Arial"/>
          <w:sz w:val="22"/>
          <w:szCs w:val="22"/>
        </w:rPr>
        <w:t xml:space="preserve">The Customer </w:t>
      </w:r>
      <w:r w:rsidR="00CC57AF" w:rsidRPr="00F5793D">
        <w:rPr>
          <w:rFonts w:ascii="Arial" w:hAnsi="Arial" w:cs="Arial"/>
          <w:sz w:val="22"/>
          <w:szCs w:val="22"/>
        </w:rPr>
        <w:t xml:space="preserve">can maintain </w:t>
      </w:r>
      <w:r w:rsidR="00B2264B" w:rsidRPr="00F5793D">
        <w:rPr>
          <w:rFonts w:ascii="Arial" w:hAnsi="Arial" w:cs="Arial"/>
          <w:sz w:val="22"/>
          <w:szCs w:val="22"/>
        </w:rPr>
        <w:t xml:space="preserve">a copy of their legacy data to access </w:t>
      </w:r>
      <w:r w:rsidR="00CC57AF" w:rsidRPr="00F5793D">
        <w:rPr>
          <w:rFonts w:ascii="Arial" w:hAnsi="Arial" w:cs="Arial"/>
          <w:sz w:val="22"/>
          <w:szCs w:val="22"/>
        </w:rPr>
        <w:t xml:space="preserve">attachments </w:t>
      </w:r>
      <w:r w:rsidR="00B2264B" w:rsidRPr="00F5793D">
        <w:rPr>
          <w:rFonts w:ascii="Arial" w:hAnsi="Arial" w:cs="Arial"/>
          <w:sz w:val="22"/>
          <w:szCs w:val="22"/>
        </w:rPr>
        <w:t xml:space="preserve"> information as needed. </w:t>
      </w:r>
    </w:p>
    <w:p w14:paraId="409452C5" w14:textId="77777777" w:rsidR="00E44844" w:rsidRPr="00F5793D" w:rsidRDefault="00E44844" w:rsidP="00F5793D">
      <w:pPr>
        <w:pBdr>
          <w:top w:val="single" w:sz="4" w:space="1" w:color="auto"/>
          <w:left w:val="single" w:sz="4" w:space="4" w:color="auto"/>
          <w:bottom w:val="single" w:sz="4" w:space="1" w:color="auto"/>
          <w:right w:val="single" w:sz="4" w:space="4" w:color="auto"/>
        </w:pBdr>
        <w:rPr>
          <w:rFonts w:ascii="Arial" w:hAnsi="Arial" w:cs="Arial"/>
          <w:sz w:val="22"/>
          <w:szCs w:val="22"/>
        </w:rPr>
      </w:pPr>
    </w:p>
    <w:p w14:paraId="3032789D" w14:textId="6E47993E" w:rsidR="00362B7F" w:rsidRPr="00F5793D" w:rsidRDefault="003A17E4" w:rsidP="00F5793D">
      <w:pPr>
        <w:pBdr>
          <w:top w:val="single" w:sz="4" w:space="1" w:color="auto"/>
          <w:left w:val="single" w:sz="4" w:space="4" w:color="auto"/>
          <w:bottom w:val="single" w:sz="4" w:space="1" w:color="auto"/>
          <w:right w:val="single" w:sz="4" w:space="4" w:color="auto"/>
        </w:pBdr>
        <w:rPr>
          <w:rFonts w:ascii="Arial" w:hAnsi="Arial" w:cs="Arial"/>
          <w:sz w:val="22"/>
          <w:szCs w:val="22"/>
        </w:rPr>
      </w:pPr>
      <w:r w:rsidRPr="00F5793D">
        <w:rPr>
          <w:rFonts w:ascii="Arial" w:hAnsi="Arial" w:cs="Arial"/>
          <w:sz w:val="22"/>
          <w:szCs w:val="22"/>
        </w:rPr>
        <w:t xml:space="preserve">Many of our customers utilize this solution as they are able to see </w:t>
      </w:r>
      <w:r w:rsidR="00E44844" w:rsidRPr="00F5793D">
        <w:rPr>
          <w:rFonts w:ascii="Arial" w:hAnsi="Arial" w:cs="Arial"/>
          <w:sz w:val="22"/>
          <w:szCs w:val="22"/>
        </w:rPr>
        <w:t>current t</w:t>
      </w:r>
      <w:r w:rsidRPr="00F5793D">
        <w:rPr>
          <w:rFonts w:ascii="Arial" w:hAnsi="Arial" w:cs="Arial"/>
          <w:sz w:val="22"/>
          <w:szCs w:val="22"/>
        </w:rPr>
        <w:t xml:space="preserve">rends in their organization against historical information, </w:t>
      </w:r>
      <w:r w:rsidR="007B1F1D" w:rsidRPr="00F5793D">
        <w:rPr>
          <w:rFonts w:ascii="Arial" w:hAnsi="Arial" w:cs="Arial"/>
          <w:sz w:val="22"/>
          <w:szCs w:val="22"/>
        </w:rPr>
        <w:t xml:space="preserve">and </w:t>
      </w:r>
      <w:r w:rsidRPr="00F5793D">
        <w:rPr>
          <w:rFonts w:ascii="Arial" w:hAnsi="Arial" w:cs="Arial"/>
          <w:sz w:val="22"/>
          <w:szCs w:val="22"/>
        </w:rPr>
        <w:t>have access to top</w:t>
      </w:r>
      <w:r w:rsidR="00E44844" w:rsidRPr="00F5793D">
        <w:rPr>
          <w:rFonts w:ascii="Arial" w:hAnsi="Arial" w:cs="Arial"/>
          <w:sz w:val="22"/>
          <w:szCs w:val="22"/>
        </w:rPr>
        <w:t>-</w:t>
      </w:r>
      <w:r w:rsidRPr="00F5793D">
        <w:rPr>
          <w:rFonts w:ascii="Arial" w:hAnsi="Arial" w:cs="Arial"/>
          <w:sz w:val="22"/>
          <w:szCs w:val="22"/>
        </w:rPr>
        <w:t>level case data from th</w:t>
      </w:r>
      <w:r w:rsidR="007B1F1D" w:rsidRPr="00F5793D">
        <w:rPr>
          <w:rFonts w:ascii="Arial" w:hAnsi="Arial" w:cs="Arial"/>
          <w:sz w:val="22"/>
          <w:szCs w:val="22"/>
        </w:rPr>
        <w:t>e</w:t>
      </w:r>
      <w:r w:rsidRPr="00F5793D">
        <w:rPr>
          <w:rFonts w:ascii="Arial" w:hAnsi="Arial" w:cs="Arial"/>
          <w:sz w:val="22"/>
          <w:szCs w:val="22"/>
        </w:rPr>
        <w:t xml:space="preserve"> legacy file</w:t>
      </w:r>
      <w:r w:rsidR="002B346C" w:rsidRPr="00F5793D">
        <w:rPr>
          <w:rFonts w:ascii="Arial" w:hAnsi="Arial" w:cs="Arial"/>
          <w:sz w:val="22"/>
          <w:szCs w:val="22"/>
        </w:rPr>
        <w:t>s</w:t>
      </w:r>
      <w:r w:rsidRPr="00F5793D">
        <w:rPr>
          <w:rFonts w:ascii="Arial" w:hAnsi="Arial" w:cs="Arial"/>
          <w:sz w:val="22"/>
          <w:szCs w:val="22"/>
        </w:rPr>
        <w:t xml:space="preserve"> in </w:t>
      </w:r>
      <w:r w:rsidR="007B1F1D" w:rsidRPr="00F5793D">
        <w:rPr>
          <w:rFonts w:ascii="Arial" w:hAnsi="Arial" w:cs="Arial"/>
          <w:sz w:val="22"/>
          <w:szCs w:val="22"/>
        </w:rPr>
        <w:t>Convercent’s</w:t>
      </w:r>
      <w:r w:rsidRPr="00F5793D">
        <w:rPr>
          <w:rFonts w:ascii="Arial" w:hAnsi="Arial" w:cs="Arial"/>
          <w:sz w:val="22"/>
          <w:szCs w:val="22"/>
        </w:rPr>
        <w:t xml:space="preserve"> Case Manager</w:t>
      </w:r>
      <w:r w:rsidR="007B1F1D" w:rsidRPr="00F5793D">
        <w:rPr>
          <w:rFonts w:ascii="Arial" w:hAnsi="Arial" w:cs="Arial"/>
          <w:sz w:val="22"/>
          <w:szCs w:val="22"/>
        </w:rPr>
        <w:t xml:space="preserve"> system. </w:t>
      </w:r>
      <w:r w:rsidR="002B346C" w:rsidRPr="00F5793D">
        <w:rPr>
          <w:rFonts w:ascii="Arial" w:hAnsi="Arial" w:cs="Arial"/>
          <w:sz w:val="22"/>
          <w:szCs w:val="22"/>
        </w:rPr>
        <w:t xml:space="preserve">Other case data </w:t>
      </w:r>
      <w:r w:rsidR="00E44844" w:rsidRPr="00F5793D">
        <w:rPr>
          <w:rFonts w:ascii="Arial" w:hAnsi="Arial" w:cs="Arial"/>
          <w:sz w:val="22"/>
          <w:szCs w:val="22"/>
        </w:rPr>
        <w:t xml:space="preserve">like messages and attachments </w:t>
      </w:r>
      <w:r w:rsidR="007B1F1D" w:rsidRPr="00F5793D">
        <w:rPr>
          <w:rFonts w:ascii="Arial" w:hAnsi="Arial" w:cs="Arial"/>
          <w:sz w:val="22"/>
          <w:szCs w:val="22"/>
        </w:rPr>
        <w:t>can still be accessed via the archive, and the migration cost itself is lower as not</w:t>
      </w:r>
      <w:r w:rsidR="002B346C" w:rsidRPr="00F5793D">
        <w:rPr>
          <w:rFonts w:ascii="Arial" w:hAnsi="Arial" w:cs="Arial"/>
          <w:sz w:val="22"/>
          <w:szCs w:val="22"/>
        </w:rPr>
        <w:t xml:space="preserve"> all data is</w:t>
      </w:r>
      <w:r w:rsidR="007B1F1D" w:rsidRPr="00F5793D">
        <w:rPr>
          <w:rFonts w:ascii="Arial" w:hAnsi="Arial" w:cs="Arial"/>
          <w:sz w:val="22"/>
          <w:szCs w:val="22"/>
        </w:rPr>
        <w:t xml:space="preserve"> migrated. </w:t>
      </w:r>
    </w:p>
    <w:p w14:paraId="7FC95BF3" w14:textId="77777777" w:rsidR="00362B7F" w:rsidRPr="00F5793D" w:rsidRDefault="00362B7F" w:rsidP="00064EFE">
      <w:pPr>
        <w:rPr>
          <w:rFonts w:ascii="Arial" w:hAnsi="Arial" w:cs="Arial"/>
          <w:b/>
          <w:bCs/>
          <w:sz w:val="22"/>
          <w:szCs w:val="22"/>
        </w:rPr>
      </w:pPr>
    </w:p>
    <w:p w14:paraId="3297E6B5" w14:textId="77777777" w:rsidR="00362B7F" w:rsidRPr="00F5793D" w:rsidRDefault="00362B7F" w:rsidP="00064EFE">
      <w:pPr>
        <w:rPr>
          <w:rFonts w:ascii="Arial" w:hAnsi="Arial" w:cs="Arial"/>
          <w:b/>
          <w:bCs/>
          <w:sz w:val="22"/>
          <w:szCs w:val="22"/>
        </w:rPr>
      </w:pPr>
    </w:p>
    <w:p w14:paraId="3E153806" w14:textId="291D03EF" w:rsidR="00B06129" w:rsidRDefault="00536A70" w:rsidP="00F5793D">
      <w:pPr>
        <w:pBdr>
          <w:top w:val="single" w:sz="4" w:space="1" w:color="auto"/>
          <w:left w:val="single" w:sz="4" w:space="4" w:color="auto"/>
          <w:bottom w:val="single" w:sz="4" w:space="1" w:color="auto"/>
          <w:right w:val="single" w:sz="4" w:space="4" w:color="auto"/>
        </w:pBdr>
        <w:rPr>
          <w:rFonts w:ascii="Arial" w:hAnsi="Arial" w:cs="Arial"/>
          <w:b/>
          <w:bCs/>
          <w:sz w:val="22"/>
          <w:szCs w:val="22"/>
        </w:rPr>
      </w:pPr>
      <w:r w:rsidRPr="00F5793D">
        <w:rPr>
          <w:rFonts w:ascii="Arial" w:hAnsi="Arial" w:cs="Arial"/>
          <w:b/>
          <w:bCs/>
          <w:sz w:val="22"/>
          <w:szCs w:val="22"/>
        </w:rPr>
        <w:t xml:space="preserve">2 - </w:t>
      </w:r>
      <w:r w:rsidR="00362B7F" w:rsidRPr="00F5793D">
        <w:rPr>
          <w:rFonts w:ascii="Arial" w:hAnsi="Arial" w:cs="Arial"/>
          <w:b/>
          <w:bCs/>
          <w:sz w:val="22"/>
          <w:szCs w:val="22"/>
        </w:rPr>
        <w:t xml:space="preserve">Advanced Migration to Convercent </w:t>
      </w:r>
      <w:r w:rsidR="00B06129" w:rsidRPr="00F5793D">
        <w:rPr>
          <w:rFonts w:ascii="Arial" w:hAnsi="Arial" w:cs="Arial"/>
          <w:b/>
          <w:bCs/>
          <w:sz w:val="22"/>
          <w:szCs w:val="22"/>
        </w:rPr>
        <w:t>– Metric-Driving</w:t>
      </w:r>
      <w:r w:rsidR="00F5793D">
        <w:rPr>
          <w:rFonts w:ascii="Arial" w:hAnsi="Arial" w:cs="Arial"/>
          <w:b/>
          <w:bCs/>
          <w:sz w:val="22"/>
          <w:szCs w:val="22"/>
        </w:rPr>
        <w:t xml:space="preserve"> data</w:t>
      </w:r>
      <w:r w:rsidR="00B06129" w:rsidRPr="00F5793D">
        <w:rPr>
          <w:rFonts w:ascii="Arial" w:hAnsi="Arial" w:cs="Arial"/>
          <w:b/>
          <w:bCs/>
          <w:sz w:val="22"/>
          <w:szCs w:val="22"/>
        </w:rPr>
        <w:t xml:space="preserve"> and Notes/ Messages</w:t>
      </w:r>
    </w:p>
    <w:p w14:paraId="5DDD459B" w14:textId="77777777" w:rsidR="00F5793D" w:rsidRPr="00F5793D" w:rsidRDefault="00F5793D" w:rsidP="00F5793D">
      <w:pPr>
        <w:pBdr>
          <w:top w:val="single" w:sz="4" w:space="1" w:color="auto"/>
          <w:left w:val="single" w:sz="4" w:space="4" w:color="auto"/>
          <w:bottom w:val="single" w:sz="4" w:space="1" w:color="auto"/>
          <w:right w:val="single" w:sz="4" w:space="4" w:color="auto"/>
        </w:pBdr>
        <w:rPr>
          <w:rFonts w:ascii="Arial" w:hAnsi="Arial" w:cs="Arial"/>
          <w:b/>
          <w:bCs/>
          <w:sz w:val="22"/>
          <w:szCs w:val="22"/>
        </w:rPr>
      </w:pPr>
    </w:p>
    <w:p w14:paraId="78EBB4DF" w14:textId="0CC424DA" w:rsidR="00CC57AF" w:rsidRDefault="00B06129" w:rsidP="00F5793D">
      <w:pPr>
        <w:pBdr>
          <w:top w:val="single" w:sz="4" w:space="1" w:color="auto"/>
          <w:left w:val="single" w:sz="4" w:space="4" w:color="auto"/>
          <w:bottom w:val="single" w:sz="4" w:space="1" w:color="auto"/>
          <w:right w:val="single" w:sz="4" w:space="4" w:color="auto"/>
        </w:pBdr>
        <w:rPr>
          <w:rFonts w:ascii="Arial" w:hAnsi="Arial" w:cs="Arial"/>
          <w:sz w:val="22"/>
          <w:szCs w:val="22"/>
        </w:rPr>
      </w:pPr>
      <w:r w:rsidRPr="00F5793D">
        <w:rPr>
          <w:rFonts w:ascii="Arial" w:hAnsi="Arial" w:cs="Arial"/>
          <w:sz w:val="22"/>
          <w:szCs w:val="22"/>
        </w:rPr>
        <w:t xml:space="preserve">Convercent can migrate the same ‘top-level’ information that supports metric reporting, as in option 1, </w:t>
      </w:r>
      <w:r w:rsidR="00CC57AF" w:rsidRPr="00F5793D">
        <w:rPr>
          <w:rFonts w:ascii="Arial" w:hAnsi="Arial" w:cs="Arial"/>
          <w:sz w:val="22"/>
          <w:szCs w:val="22"/>
        </w:rPr>
        <w:t xml:space="preserve">and </w:t>
      </w:r>
      <w:r w:rsidRPr="00F5793D">
        <w:rPr>
          <w:rFonts w:ascii="Arial" w:hAnsi="Arial" w:cs="Arial"/>
          <w:sz w:val="22"/>
          <w:szCs w:val="22"/>
        </w:rPr>
        <w:t>additional items such as notes and messages that are available in the file</w:t>
      </w:r>
      <w:r w:rsidR="00CC57AF" w:rsidRPr="00F5793D">
        <w:rPr>
          <w:rFonts w:ascii="Arial" w:hAnsi="Arial" w:cs="Arial"/>
          <w:sz w:val="22"/>
          <w:szCs w:val="22"/>
        </w:rPr>
        <w:t xml:space="preserve"> as fields. Most legacy data extracts record information in this way.  </w:t>
      </w:r>
      <w:proofErr w:type="spellStart"/>
      <w:r w:rsidR="00CC57AF" w:rsidRPr="00F5793D">
        <w:rPr>
          <w:rFonts w:ascii="Arial" w:hAnsi="Arial" w:cs="Arial"/>
          <w:sz w:val="22"/>
          <w:szCs w:val="22"/>
        </w:rPr>
        <w:t xml:space="preserve">The </w:t>
      </w:r>
      <w:proofErr w:type="spellEnd"/>
      <w:r w:rsidR="00CC57AF" w:rsidRPr="00F5793D">
        <w:rPr>
          <w:rFonts w:ascii="Arial" w:hAnsi="Arial" w:cs="Arial"/>
          <w:sz w:val="22"/>
          <w:szCs w:val="22"/>
        </w:rPr>
        <w:t xml:space="preserve">migration process involves some additional pathing and verifying to migrate these additional fields.  </w:t>
      </w:r>
    </w:p>
    <w:p w14:paraId="7465B3E6" w14:textId="0141226A" w:rsidR="00CC57AF" w:rsidRPr="00F5793D" w:rsidRDefault="00CC57AF" w:rsidP="00F5793D">
      <w:pPr>
        <w:pBdr>
          <w:top w:val="single" w:sz="4" w:space="1" w:color="auto"/>
          <w:left w:val="single" w:sz="4" w:space="4" w:color="auto"/>
          <w:bottom w:val="single" w:sz="4" w:space="1" w:color="auto"/>
          <w:right w:val="single" w:sz="4" w:space="4" w:color="auto"/>
        </w:pBdr>
        <w:rPr>
          <w:rFonts w:ascii="Arial" w:hAnsi="Arial" w:cs="Arial"/>
          <w:sz w:val="22"/>
          <w:szCs w:val="22"/>
        </w:rPr>
      </w:pPr>
      <w:r w:rsidRPr="00F5793D">
        <w:rPr>
          <w:rFonts w:ascii="Arial" w:hAnsi="Arial" w:cs="Arial"/>
          <w:sz w:val="22"/>
          <w:szCs w:val="22"/>
        </w:rPr>
        <w:t xml:space="preserve">Any files or attachments in the data set are not migrated across under this option. </w:t>
      </w:r>
    </w:p>
    <w:p w14:paraId="2C286488" w14:textId="77777777" w:rsidR="00F5793D" w:rsidRDefault="00F5793D" w:rsidP="00F5793D">
      <w:pPr>
        <w:pBdr>
          <w:top w:val="single" w:sz="4" w:space="1" w:color="auto"/>
          <w:left w:val="single" w:sz="4" w:space="4" w:color="auto"/>
          <w:bottom w:val="single" w:sz="4" w:space="1" w:color="auto"/>
          <w:right w:val="single" w:sz="4" w:space="4" w:color="auto"/>
        </w:pBdr>
        <w:rPr>
          <w:rFonts w:ascii="Arial" w:hAnsi="Arial" w:cs="Arial"/>
          <w:sz w:val="22"/>
          <w:szCs w:val="22"/>
        </w:rPr>
      </w:pPr>
    </w:p>
    <w:p w14:paraId="307BBBD8" w14:textId="67831E25" w:rsidR="00B06129" w:rsidRPr="00F5793D" w:rsidRDefault="00CC57AF" w:rsidP="00F5793D">
      <w:pPr>
        <w:pBdr>
          <w:top w:val="single" w:sz="4" w:space="1" w:color="auto"/>
          <w:left w:val="single" w:sz="4" w:space="4" w:color="auto"/>
          <w:bottom w:val="single" w:sz="4" w:space="1" w:color="auto"/>
          <w:right w:val="single" w:sz="4" w:space="4" w:color="auto"/>
        </w:pBdr>
        <w:rPr>
          <w:rFonts w:ascii="Arial" w:hAnsi="Arial" w:cs="Arial"/>
          <w:sz w:val="22"/>
          <w:szCs w:val="22"/>
        </w:rPr>
      </w:pPr>
      <w:r w:rsidRPr="00F5793D">
        <w:rPr>
          <w:rFonts w:ascii="Arial" w:hAnsi="Arial" w:cs="Arial"/>
          <w:sz w:val="22"/>
          <w:szCs w:val="22"/>
        </w:rPr>
        <w:t xml:space="preserve">As with Option 1 - </w:t>
      </w:r>
      <w:r w:rsidRPr="00F5793D">
        <w:rPr>
          <w:rFonts w:ascii="Arial" w:hAnsi="Arial" w:cs="Arial"/>
          <w:sz w:val="22"/>
          <w:szCs w:val="22"/>
        </w:rPr>
        <w:t>The legacy data migrated acro</w:t>
      </w:r>
      <w:r w:rsidRPr="00F5793D">
        <w:rPr>
          <w:rFonts w:ascii="Arial" w:hAnsi="Arial" w:cs="Arial"/>
          <w:sz w:val="22"/>
          <w:szCs w:val="22"/>
        </w:rPr>
        <w:t>ss to Convercent will be visible in the Convercent system and t</w:t>
      </w:r>
      <w:r w:rsidR="00B06129" w:rsidRPr="00F5793D">
        <w:rPr>
          <w:rFonts w:ascii="Arial" w:hAnsi="Arial" w:cs="Arial"/>
          <w:sz w:val="22"/>
          <w:szCs w:val="22"/>
        </w:rPr>
        <w:t xml:space="preserve">he Customer </w:t>
      </w:r>
      <w:r w:rsidRPr="00F5793D">
        <w:rPr>
          <w:rFonts w:ascii="Arial" w:hAnsi="Arial" w:cs="Arial"/>
          <w:sz w:val="22"/>
          <w:szCs w:val="22"/>
        </w:rPr>
        <w:t>can maintain</w:t>
      </w:r>
      <w:r w:rsidR="00B06129" w:rsidRPr="00F5793D">
        <w:rPr>
          <w:rFonts w:ascii="Arial" w:hAnsi="Arial" w:cs="Arial"/>
          <w:sz w:val="22"/>
          <w:szCs w:val="22"/>
        </w:rPr>
        <w:t xml:space="preserve"> a copy of their legacy data to access</w:t>
      </w:r>
      <w:r w:rsidRPr="00F5793D">
        <w:rPr>
          <w:rFonts w:ascii="Arial" w:hAnsi="Arial" w:cs="Arial"/>
          <w:sz w:val="22"/>
          <w:szCs w:val="22"/>
        </w:rPr>
        <w:t xml:space="preserve"> attachments </w:t>
      </w:r>
      <w:r w:rsidR="00B06129" w:rsidRPr="00F5793D">
        <w:rPr>
          <w:rFonts w:ascii="Arial" w:hAnsi="Arial" w:cs="Arial"/>
          <w:sz w:val="22"/>
          <w:szCs w:val="22"/>
        </w:rPr>
        <w:t xml:space="preserve">as needed. </w:t>
      </w:r>
    </w:p>
    <w:p w14:paraId="478F21B8" w14:textId="77777777" w:rsidR="00CC57AF" w:rsidRPr="00F5793D" w:rsidRDefault="00CC57AF" w:rsidP="00CC57AF">
      <w:pPr>
        <w:rPr>
          <w:rFonts w:ascii="Arial" w:hAnsi="Arial" w:cs="Arial"/>
          <w:sz w:val="22"/>
          <w:szCs w:val="22"/>
        </w:rPr>
      </w:pPr>
    </w:p>
    <w:p w14:paraId="08ECEFC3" w14:textId="24A58F3F" w:rsidR="00362B7F" w:rsidRDefault="00362B7F" w:rsidP="00064EFE">
      <w:pPr>
        <w:rPr>
          <w:rFonts w:ascii="Arial" w:hAnsi="Arial" w:cs="Arial"/>
          <w:b/>
          <w:bCs/>
          <w:sz w:val="22"/>
          <w:szCs w:val="22"/>
        </w:rPr>
      </w:pPr>
    </w:p>
    <w:p w14:paraId="7E75358E" w14:textId="71948856" w:rsidR="00F5793D" w:rsidRDefault="00F5793D" w:rsidP="00064EFE">
      <w:pPr>
        <w:rPr>
          <w:rFonts w:ascii="Arial" w:hAnsi="Arial" w:cs="Arial"/>
          <w:b/>
          <w:bCs/>
          <w:sz w:val="22"/>
          <w:szCs w:val="22"/>
        </w:rPr>
      </w:pPr>
    </w:p>
    <w:p w14:paraId="6A3F3FE7" w14:textId="77777777" w:rsidR="00F5793D" w:rsidRPr="00F5793D" w:rsidRDefault="00F5793D" w:rsidP="00064EFE">
      <w:pPr>
        <w:rPr>
          <w:rFonts w:ascii="Arial" w:hAnsi="Arial" w:cs="Arial"/>
          <w:b/>
          <w:bCs/>
          <w:sz w:val="22"/>
          <w:szCs w:val="22"/>
        </w:rPr>
      </w:pPr>
    </w:p>
    <w:p w14:paraId="2A4E62AA" w14:textId="5ED87AA7" w:rsidR="00D6262F" w:rsidRPr="00F5793D" w:rsidRDefault="00362B7F" w:rsidP="00F5793D">
      <w:pPr>
        <w:pBdr>
          <w:top w:val="single" w:sz="4" w:space="1" w:color="auto"/>
          <w:left w:val="single" w:sz="4" w:space="4" w:color="auto"/>
          <w:bottom w:val="single" w:sz="4" w:space="1" w:color="auto"/>
          <w:right w:val="single" w:sz="4" w:space="4" w:color="auto"/>
        </w:pBdr>
        <w:rPr>
          <w:rFonts w:ascii="Arial" w:hAnsi="Arial" w:cs="Arial"/>
          <w:b/>
          <w:bCs/>
          <w:sz w:val="22"/>
          <w:szCs w:val="22"/>
        </w:rPr>
      </w:pPr>
      <w:r w:rsidRPr="00F5793D">
        <w:rPr>
          <w:rFonts w:ascii="Arial" w:hAnsi="Arial" w:cs="Arial"/>
          <w:b/>
          <w:bCs/>
          <w:sz w:val="22"/>
          <w:szCs w:val="22"/>
        </w:rPr>
        <w:lastRenderedPageBreak/>
        <w:t>3</w:t>
      </w:r>
      <w:r w:rsidR="001949B5" w:rsidRPr="00F5793D">
        <w:rPr>
          <w:rFonts w:ascii="Arial" w:hAnsi="Arial" w:cs="Arial"/>
          <w:b/>
          <w:bCs/>
          <w:sz w:val="22"/>
          <w:szCs w:val="22"/>
        </w:rPr>
        <w:t xml:space="preserve">- Complex Migration </w:t>
      </w:r>
      <w:r w:rsidR="00D6262F" w:rsidRPr="00F5793D">
        <w:rPr>
          <w:rFonts w:ascii="Arial" w:hAnsi="Arial" w:cs="Arial"/>
          <w:b/>
          <w:bCs/>
          <w:sz w:val="22"/>
          <w:szCs w:val="22"/>
        </w:rPr>
        <w:t>to Convercent</w:t>
      </w:r>
      <w:r w:rsidR="003A17E4" w:rsidRPr="00F5793D">
        <w:rPr>
          <w:rFonts w:ascii="Arial" w:hAnsi="Arial" w:cs="Arial"/>
          <w:b/>
          <w:bCs/>
          <w:sz w:val="22"/>
          <w:szCs w:val="22"/>
        </w:rPr>
        <w:t xml:space="preserve"> –  </w:t>
      </w:r>
      <w:r w:rsidR="00F5793D">
        <w:rPr>
          <w:rFonts w:ascii="Arial" w:hAnsi="Arial" w:cs="Arial"/>
          <w:b/>
          <w:bCs/>
          <w:sz w:val="22"/>
          <w:szCs w:val="22"/>
        </w:rPr>
        <w:t xml:space="preserve">Migration of Attachments </w:t>
      </w:r>
    </w:p>
    <w:p w14:paraId="375254D5" w14:textId="77777777" w:rsidR="00C25C69" w:rsidRPr="00F5793D" w:rsidRDefault="00C25C69" w:rsidP="00F5793D">
      <w:pPr>
        <w:pBdr>
          <w:top w:val="single" w:sz="4" w:space="1" w:color="auto"/>
          <w:left w:val="single" w:sz="4" w:space="4" w:color="auto"/>
          <w:bottom w:val="single" w:sz="4" w:space="1" w:color="auto"/>
          <w:right w:val="single" w:sz="4" w:space="4" w:color="auto"/>
        </w:pBdr>
        <w:rPr>
          <w:rFonts w:ascii="Arial" w:hAnsi="Arial" w:cs="Arial"/>
          <w:b/>
          <w:bCs/>
          <w:sz w:val="22"/>
          <w:szCs w:val="22"/>
        </w:rPr>
      </w:pPr>
    </w:p>
    <w:p w14:paraId="00F4B6F0" w14:textId="7E9BC1E3" w:rsidR="007B1F1D" w:rsidRPr="00F5793D" w:rsidRDefault="00D6262F" w:rsidP="00F5793D">
      <w:pPr>
        <w:pBdr>
          <w:top w:val="single" w:sz="4" w:space="1" w:color="auto"/>
          <w:left w:val="single" w:sz="4" w:space="4" w:color="auto"/>
          <w:bottom w:val="single" w:sz="4" w:space="1" w:color="auto"/>
          <w:right w:val="single" w:sz="4" w:space="4" w:color="auto"/>
        </w:pBdr>
        <w:rPr>
          <w:rFonts w:ascii="Arial" w:hAnsi="Arial" w:cs="Arial"/>
          <w:sz w:val="22"/>
          <w:szCs w:val="22"/>
        </w:rPr>
      </w:pPr>
      <w:r w:rsidRPr="00F5793D">
        <w:rPr>
          <w:rFonts w:ascii="Arial" w:hAnsi="Arial" w:cs="Arial"/>
          <w:sz w:val="22"/>
          <w:szCs w:val="22"/>
        </w:rPr>
        <w:t>Convercent will migrate ‘top-level’ information that supports metric reporting</w:t>
      </w:r>
      <w:r w:rsidR="00CC57AF" w:rsidRPr="00F5793D">
        <w:rPr>
          <w:rFonts w:ascii="Arial" w:hAnsi="Arial" w:cs="Arial"/>
          <w:sz w:val="22"/>
          <w:szCs w:val="22"/>
        </w:rPr>
        <w:t xml:space="preserve"> with nots and messages</w:t>
      </w:r>
      <w:r w:rsidRPr="00F5793D">
        <w:rPr>
          <w:rFonts w:ascii="Arial" w:hAnsi="Arial" w:cs="Arial"/>
          <w:sz w:val="22"/>
          <w:szCs w:val="22"/>
        </w:rPr>
        <w:t xml:space="preserve"> (outlined in option </w:t>
      </w:r>
      <w:r w:rsidR="008059A2" w:rsidRPr="00F5793D">
        <w:rPr>
          <w:rFonts w:ascii="Arial" w:hAnsi="Arial" w:cs="Arial"/>
          <w:sz w:val="22"/>
          <w:szCs w:val="22"/>
        </w:rPr>
        <w:t>2</w:t>
      </w:r>
      <w:r w:rsidR="003A17E4" w:rsidRPr="00F5793D">
        <w:rPr>
          <w:rFonts w:ascii="Arial" w:hAnsi="Arial" w:cs="Arial"/>
          <w:sz w:val="22"/>
          <w:szCs w:val="22"/>
        </w:rPr>
        <w:t>)</w:t>
      </w:r>
      <w:r w:rsidRPr="00F5793D">
        <w:rPr>
          <w:rFonts w:ascii="Arial" w:hAnsi="Arial" w:cs="Arial"/>
          <w:sz w:val="22"/>
          <w:szCs w:val="22"/>
        </w:rPr>
        <w:t xml:space="preserve"> </w:t>
      </w:r>
      <w:r w:rsidR="007B1F1D" w:rsidRPr="00F5793D">
        <w:rPr>
          <w:rFonts w:ascii="Arial" w:hAnsi="Arial" w:cs="Arial"/>
          <w:b/>
          <w:bCs/>
          <w:sz w:val="22"/>
          <w:szCs w:val="22"/>
        </w:rPr>
        <w:t>in addition to</w:t>
      </w:r>
      <w:r w:rsidRPr="00F5793D">
        <w:rPr>
          <w:rFonts w:ascii="Arial" w:hAnsi="Arial" w:cs="Arial"/>
          <w:sz w:val="22"/>
          <w:szCs w:val="22"/>
        </w:rPr>
        <w:t xml:space="preserve"> the </w:t>
      </w:r>
      <w:r w:rsidR="003A17E4" w:rsidRPr="00F5793D">
        <w:rPr>
          <w:rFonts w:ascii="Arial" w:hAnsi="Arial" w:cs="Arial"/>
          <w:sz w:val="22"/>
          <w:szCs w:val="22"/>
        </w:rPr>
        <w:t xml:space="preserve">attachments </w:t>
      </w:r>
      <w:r w:rsidRPr="00F5793D">
        <w:rPr>
          <w:rFonts w:ascii="Arial" w:hAnsi="Arial" w:cs="Arial"/>
          <w:sz w:val="22"/>
          <w:szCs w:val="22"/>
        </w:rPr>
        <w:t xml:space="preserve">within the cases themselves. </w:t>
      </w:r>
    </w:p>
    <w:p w14:paraId="58A92551" w14:textId="77777777" w:rsidR="00CC57AF" w:rsidRPr="00F5793D" w:rsidRDefault="00CC57AF" w:rsidP="00F5793D">
      <w:pPr>
        <w:pBdr>
          <w:top w:val="single" w:sz="4" w:space="1" w:color="auto"/>
          <w:left w:val="single" w:sz="4" w:space="4" w:color="auto"/>
          <w:bottom w:val="single" w:sz="4" w:space="1" w:color="auto"/>
          <w:right w:val="single" w:sz="4" w:space="4" w:color="auto"/>
        </w:pBdr>
        <w:rPr>
          <w:rFonts w:ascii="Arial" w:hAnsi="Arial" w:cs="Arial"/>
          <w:sz w:val="22"/>
          <w:szCs w:val="22"/>
        </w:rPr>
      </w:pPr>
    </w:p>
    <w:p w14:paraId="30B07C23" w14:textId="6ABC4389" w:rsidR="00D6262F" w:rsidRPr="00F5793D" w:rsidRDefault="003A17E4" w:rsidP="00F5793D">
      <w:pPr>
        <w:pBdr>
          <w:top w:val="single" w:sz="4" w:space="1" w:color="auto"/>
          <w:left w:val="single" w:sz="4" w:space="4" w:color="auto"/>
          <w:bottom w:val="single" w:sz="4" w:space="1" w:color="auto"/>
          <w:right w:val="single" w:sz="4" w:space="4" w:color="auto"/>
        </w:pBdr>
        <w:rPr>
          <w:rFonts w:ascii="Arial" w:hAnsi="Arial" w:cs="Arial"/>
          <w:sz w:val="22"/>
          <w:szCs w:val="22"/>
        </w:rPr>
      </w:pPr>
      <w:r w:rsidRPr="00F5793D">
        <w:rPr>
          <w:rFonts w:ascii="Arial" w:hAnsi="Arial" w:cs="Arial"/>
          <w:sz w:val="22"/>
          <w:szCs w:val="22"/>
        </w:rPr>
        <w:t>We term this migration ‘complex’ because the legacy system can contain a high number of files, of varying size, that require a</w:t>
      </w:r>
      <w:r w:rsidR="004C75B9" w:rsidRPr="00F5793D">
        <w:rPr>
          <w:rFonts w:ascii="Arial" w:hAnsi="Arial" w:cs="Arial"/>
          <w:sz w:val="22"/>
          <w:szCs w:val="22"/>
        </w:rPr>
        <w:t>dditional</w:t>
      </w:r>
      <w:r w:rsidRPr="00F5793D">
        <w:rPr>
          <w:rFonts w:ascii="Arial" w:hAnsi="Arial" w:cs="Arial"/>
          <w:sz w:val="22"/>
          <w:szCs w:val="22"/>
        </w:rPr>
        <w:t xml:space="preserve"> processing and </w:t>
      </w:r>
      <w:r w:rsidR="004C75B9" w:rsidRPr="00F5793D">
        <w:rPr>
          <w:rFonts w:ascii="Arial" w:hAnsi="Arial" w:cs="Arial"/>
          <w:sz w:val="22"/>
          <w:szCs w:val="22"/>
        </w:rPr>
        <w:t>multiple</w:t>
      </w:r>
      <w:r w:rsidRPr="00F5793D">
        <w:rPr>
          <w:rFonts w:ascii="Arial" w:hAnsi="Arial" w:cs="Arial"/>
          <w:sz w:val="22"/>
          <w:szCs w:val="22"/>
        </w:rPr>
        <w:t xml:space="preserve"> steps to migrate</w:t>
      </w:r>
      <w:r w:rsidR="009E22DD" w:rsidRPr="00F5793D">
        <w:rPr>
          <w:rFonts w:ascii="Arial" w:hAnsi="Arial" w:cs="Arial"/>
          <w:sz w:val="22"/>
          <w:szCs w:val="22"/>
        </w:rPr>
        <w:t xml:space="preserve"> and validate</w:t>
      </w:r>
      <w:r w:rsidRPr="00F5793D">
        <w:rPr>
          <w:rFonts w:ascii="Arial" w:hAnsi="Arial" w:cs="Arial"/>
          <w:sz w:val="22"/>
          <w:szCs w:val="22"/>
        </w:rPr>
        <w:t>.</w:t>
      </w:r>
    </w:p>
    <w:p w14:paraId="27E409F8" w14:textId="77777777" w:rsidR="00D6262F" w:rsidRPr="00F5793D" w:rsidRDefault="00D6262F" w:rsidP="00F5793D">
      <w:pPr>
        <w:pBdr>
          <w:top w:val="single" w:sz="4" w:space="1" w:color="auto"/>
          <w:left w:val="single" w:sz="4" w:space="4" w:color="auto"/>
          <w:bottom w:val="single" w:sz="4" w:space="1" w:color="auto"/>
          <w:right w:val="single" w:sz="4" w:space="4" w:color="auto"/>
        </w:pBdr>
        <w:rPr>
          <w:rFonts w:ascii="Arial" w:hAnsi="Arial" w:cs="Arial"/>
          <w:sz w:val="22"/>
          <w:szCs w:val="22"/>
        </w:rPr>
      </w:pPr>
    </w:p>
    <w:p w14:paraId="73307A79" w14:textId="290DB92D" w:rsidR="007B1F1D" w:rsidRPr="00F5793D" w:rsidRDefault="003A17E4" w:rsidP="00F5793D">
      <w:pPr>
        <w:pBdr>
          <w:top w:val="single" w:sz="4" w:space="1" w:color="auto"/>
          <w:left w:val="single" w:sz="4" w:space="4" w:color="auto"/>
          <w:bottom w:val="single" w:sz="4" w:space="1" w:color="auto"/>
          <w:right w:val="single" w:sz="4" w:space="4" w:color="auto"/>
        </w:pBdr>
        <w:rPr>
          <w:rFonts w:ascii="Arial" w:hAnsi="Arial" w:cs="Arial"/>
          <w:sz w:val="22"/>
          <w:szCs w:val="22"/>
        </w:rPr>
      </w:pPr>
      <w:r w:rsidRPr="00F5793D">
        <w:rPr>
          <w:rFonts w:ascii="Arial" w:hAnsi="Arial" w:cs="Arial"/>
          <w:sz w:val="22"/>
          <w:szCs w:val="22"/>
        </w:rPr>
        <w:t xml:space="preserve">The benefit of this approach is </w:t>
      </w:r>
      <w:r w:rsidR="004C75B9" w:rsidRPr="00F5793D">
        <w:rPr>
          <w:rFonts w:ascii="Arial" w:hAnsi="Arial" w:cs="Arial"/>
          <w:sz w:val="22"/>
          <w:szCs w:val="22"/>
        </w:rPr>
        <w:t>twofold; t</w:t>
      </w:r>
      <w:r w:rsidRPr="00F5793D">
        <w:rPr>
          <w:rFonts w:ascii="Arial" w:hAnsi="Arial" w:cs="Arial"/>
          <w:sz w:val="22"/>
          <w:szCs w:val="22"/>
        </w:rPr>
        <w:t xml:space="preserve">he </w:t>
      </w:r>
      <w:r w:rsidR="00D6262F" w:rsidRPr="00F5793D">
        <w:rPr>
          <w:rFonts w:ascii="Arial" w:hAnsi="Arial" w:cs="Arial"/>
          <w:sz w:val="22"/>
          <w:szCs w:val="22"/>
        </w:rPr>
        <w:t xml:space="preserve">metric-driving data </w:t>
      </w:r>
      <w:r w:rsidR="004C75B9" w:rsidRPr="00F5793D">
        <w:rPr>
          <w:rFonts w:ascii="Arial" w:hAnsi="Arial" w:cs="Arial"/>
          <w:sz w:val="22"/>
          <w:szCs w:val="22"/>
        </w:rPr>
        <w:t xml:space="preserve">and notes </w:t>
      </w:r>
      <w:r w:rsidR="002B346C" w:rsidRPr="00F5793D">
        <w:rPr>
          <w:rFonts w:ascii="Arial" w:hAnsi="Arial" w:cs="Arial"/>
          <w:sz w:val="22"/>
          <w:szCs w:val="22"/>
        </w:rPr>
        <w:t xml:space="preserve">will </w:t>
      </w:r>
      <w:r w:rsidR="00D6262F" w:rsidRPr="00F5793D">
        <w:rPr>
          <w:rFonts w:ascii="Arial" w:hAnsi="Arial" w:cs="Arial"/>
          <w:sz w:val="22"/>
          <w:szCs w:val="22"/>
        </w:rPr>
        <w:t>surface in the Convercent Insights application, allowing you to report on and compare data from the legacy file</w:t>
      </w:r>
      <w:r w:rsidR="002B346C" w:rsidRPr="00F5793D">
        <w:rPr>
          <w:rFonts w:ascii="Arial" w:hAnsi="Arial" w:cs="Arial"/>
          <w:sz w:val="22"/>
          <w:szCs w:val="22"/>
        </w:rPr>
        <w:t>s</w:t>
      </w:r>
      <w:r w:rsidR="00D6262F" w:rsidRPr="00F5793D">
        <w:rPr>
          <w:rFonts w:ascii="Arial" w:hAnsi="Arial" w:cs="Arial"/>
          <w:sz w:val="22"/>
          <w:szCs w:val="22"/>
        </w:rPr>
        <w:t xml:space="preserve"> and</w:t>
      </w:r>
      <w:r w:rsidR="002B346C" w:rsidRPr="00F5793D">
        <w:rPr>
          <w:rFonts w:ascii="Arial" w:hAnsi="Arial" w:cs="Arial"/>
          <w:sz w:val="22"/>
          <w:szCs w:val="22"/>
        </w:rPr>
        <w:t xml:space="preserve"> new cases</w:t>
      </w:r>
      <w:r w:rsidR="00C25C69" w:rsidRPr="00F5793D">
        <w:rPr>
          <w:rFonts w:ascii="Arial" w:hAnsi="Arial" w:cs="Arial"/>
          <w:sz w:val="22"/>
          <w:szCs w:val="22"/>
        </w:rPr>
        <w:t xml:space="preserve"> </w:t>
      </w:r>
      <w:r w:rsidR="00D6262F" w:rsidRPr="00F5793D">
        <w:rPr>
          <w:rFonts w:ascii="Arial" w:hAnsi="Arial" w:cs="Arial"/>
          <w:sz w:val="22"/>
          <w:szCs w:val="22"/>
        </w:rPr>
        <w:t>in the Convercent application</w:t>
      </w:r>
      <w:r w:rsidR="002B346C" w:rsidRPr="00F5793D">
        <w:rPr>
          <w:rFonts w:ascii="Arial" w:hAnsi="Arial" w:cs="Arial"/>
          <w:sz w:val="22"/>
          <w:szCs w:val="22"/>
        </w:rPr>
        <w:t>. Secondly,</w:t>
      </w:r>
      <w:r w:rsidR="007B1F1D" w:rsidRPr="00F5793D">
        <w:rPr>
          <w:rFonts w:ascii="Arial" w:hAnsi="Arial" w:cs="Arial"/>
          <w:sz w:val="22"/>
          <w:szCs w:val="22"/>
        </w:rPr>
        <w:t xml:space="preserve"> t</w:t>
      </w:r>
      <w:r w:rsidR="00D6262F" w:rsidRPr="00F5793D">
        <w:rPr>
          <w:rFonts w:ascii="Arial" w:hAnsi="Arial" w:cs="Arial"/>
          <w:sz w:val="22"/>
          <w:szCs w:val="22"/>
        </w:rPr>
        <w:t xml:space="preserve">he </w:t>
      </w:r>
      <w:r w:rsidR="002B346C" w:rsidRPr="00F5793D">
        <w:rPr>
          <w:rFonts w:ascii="Arial" w:hAnsi="Arial" w:cs="Arial"/>
          <w:sz w:val="22"/>
          <w:szCs w:val="22"/>
        </w:rPr>
        <w:t>additional case data -</w:t>
      </w:r>
      <w:r w:rsidR="007B1F1D" w:rsidRPr="00F5793D">
        <w:rPr>
          <w:rFonts w:ascii="Arial" w:hAnsi="Arial" w:cs="Arial"/>
          <w:sz w:val="22"/>
          <w:szCs w:val="22"/>
        </w:rPr>
        <w:t xml:space="preserve"> attachments, messages etc. are </w:t>
      </w:r>
      <w:r w:rsidRPr="00F5793D">
        <w:rPr>
          <w:rFonts w:ascii="Arial" w:hAnsi="Arial" w:cs="Arial"/>
          <w:sz w:val="22"/>
          <w:szCs w:val="22"/>
        </w:rPr>
        <w:t>migrated</w:t>
      </w:r>
      <w:r w:rsidR="00D6262F" w:rsidRPr="00F5793D">
        <w:rPr>
          <w:rFonts w:ascii="Arial" w:hAnsi="Arial" w:cs="Arial"/>
          <w:sz w:val="22"/>
          <w:szCs w:val="22"/>
        </w:rPr>
        <w:t xml:space="preserve"> across for each case itself </w:t>
      </w:r>
      <w:r w:rsidR="007B1F1D" w:rsidRPr="00F5793D">
        <w:rPr>
          <w:rFonts w:ascii="Arial" w:hAnsi="Arial" w:cs="Arial"/>
          <w:sz w:val="22"/>
          <w:szCs w:val="22"/>
        </w:rPr>
        <w:t>and</w:t>
      </w:r>
      <w:r w:rsidR="00D6262F" w:rsidRPr="00F5793D">
        <w:rPr>
          <w:rFonts w:ascii="Arial" w:hAnsi="Arial" w:cs="Arial"/>
          <w:sz w:val="22"/>
          <w:szCs w:val="22"/>
        </w:rPr>
        <w:t xml:space="preserve"> </w:t>
      </w:r>
      <w:r w:rsidR="007B1F1D" w:rsidRPr="00F5793D">
        <w:rPr>
          <w:rFonts w:ascii="Arial" w:hAnsi="Arial" w:cs="Arial"/>
          <w:sz w:val="22"/>
          <w:szCs w:val="22"/>
        </w:rPr>
        <w:t xml:space="preserve">are </w:t>
      </w:r>
      <w:r w:rsidR="00D6262F" w:rsidRPr="00F5793D">
        <w:rPr>
          <w:rFonts w:ascii="Arial" w:hAnsi="Arial" w:cs="Arial"/>
          <w:sz w:val="22"/>
          <w:szCs w:val="22"/>
        </w:rPr>
        <w:t>viewable within Convercent Case Manager</w:t>
      </w:r>
      <w:r w:rsidR="002B346C" w:rsidRPr="00F5793D">
        <w:rPr>
          <w:rFonts w:ascii="Arial" w:hAnsi="Arial" w:cs="Arial"/>
          <w:sz w:val="22"/>
          <w:szCs w:val="22"/>
        </w:rPr>
        <w:t>.</w:t>
      </w:r>
    </w:p>
    <w:p w14:paraId="53233693" w14:textId="77777777" w:rsidR="007B1F1D" w:rsidRPr="00F5793D" w:rsidRDefault="007B1F1D" w:rsidP="00F5793D">
      <w:pPr>
        <w:pBdr>
          <w:top w:val="single" w:sz="4" w:space="1" w:color="auto"/>
          <w:left w:val="single" w:sz="4" w:space="4" w:color="auto"/>
          <w:bottom w:val="single" w:sz="4" w:space="1" w:color="auto"/>
          <w:right w:val="single" w:sz="4" w:space="4" w:color="auto"/>
        </w:pBdr>
        <w:rPr>
          <w:rFonts w:ascii="Arial" w:hAnsi="Arial" w:cs="Arial"/>
          <w:sz w:val="22"/>
          <w:szCs w:val="22"/>
        </w:rPr>
      </w:pPr>
    </w:p>
    <w:p w14:paraId="6A234A1A" w14:textId="19ED5D52" w:rsidR="003A17E4" w:rsidRPr="00F5793D" w:rsidRDefault="003A17E4" w:rsidP="00F5793D">
      <w:pPr>
        <w:pBdr>
          <w:top w:val="single" w:sz="4" w:space="1" w:color="auto"/>
          <w:left w:val="single" w:sz="4" w:space="4" w:color="auto"/>
          <w:bottom w:val="single" w:sz="4" w:space="1" w:color="auto"/>
          <w:right w:val="single" w:sz="4" w:space="4" w:color="auto"/>
        </w:pBdr>
        <w:rPr>
          <w:rFonts w:ascii="Arial" w:hAnsi="Arial" w:cs="Arial"/>
          <w:sz w:val="22"/>
          <w:szCs w:val="22"/>
        </w:rPr>
      </w:pPr>
      <w:r w:rsidRPr="00F5793D">
        <w:rPr>
          <w:rFonts w:ascii="Arial" w:hAnsi="Arial" w:cs="Arial"/>
          <w:sz w:val="22"/>
          <w:szCs w:val="22"/>
        </w:rPr>
        <w:t>Customers also typically maintain a separate archive file from their previous Case Management system</w:t>
      </w:r>
      <w:r w:rsidR="007B1F1D" w:rsidRPr="00F5793D">
        <w:rPr>
          <w:rFonts w:ascii="Arial" w:hAnsi="Arial" w:cs="Arial"/>
          <w:sz w:val="22"/>
          <w:szCs w:val="22"/>
        </w:rPr>
        <w:t xml:space="preserve"> as a backup but can now effectively access all of their legacy data </w:t>
      </w:r>
      <w:r w:rsidR="009E22DD" w:rsidRPr="00F5793D">
        <w:rPr>
          <w:rFonts w:ascii="Arial" w:hAnsi="Arial" w:cs="Arial"/>
          <w:sz w:val="22"/>
          <w:szCs w:val="22"/>
        </w:rPr>
        <w:t xml:space="preserve">and files </w:t>
      </w:r>
      <w:r w:rsidR="007B1F1D" w:rsidRPr="00F5793D">
        <w:rPr>
          <w:rFonts w:ascii="Arial" w:hAnsi="Arial" w:cs="Arial"/>
          <w:sz w:val="22"/>
          <w:szCs w:val="22"/>
        </w:rPr>
        <w:t>within Convercent</w:t>
      </w:r>
      <w:r w:rsidR="009E22DD" w:rsidRPr="00F5793D">
        <w:rPr>
          <w:rFonts w:ascii="Arial" w:hAnsi="Arial" w:cs="Arial"/>
          <w:sz w:val="22"/>
          <w:szCs w:val="22"/>
        </w:rPr>
        <w:t xml:space="preserve">. </w:t>
      </w:r>
    </w:p>
    <w:p w14:paraId="755DCA39" w14:textId="2A23D323" w:rsidR="003A17E4" w:rsidRPr="00F5793D" w:rsidRDefault="003A17E4" w:rsidP="00064EFE">
      <w:pPr>
        <w:rPr>
          <w:rFonts w:ascii="Arial" w:hAnsi="Arial" w:cs="Arial"/>
          <w:sz w:val="22"/>
          <w:szCs w:val="22"/>
        </w:rPr>
      </w:pPr>
    </w:p>
    <w:p w14:paraId="4E705CE3" w14:textId="0AEBCE27" w:rsidR="005F5561" w:rsidRPr="00F5793D" w:rsidRDefault="005F5561">
      <w:pPr>
        <w:rPr>
          <w:rFonts w:ascii="Arial" w:hAnsi="Arial" w:cs="Arial"/>
          <w:b/>
          <w:bCs/>
          <w:sz w:val="22"/>
          <w:szCs w:val="22"/>
        </w:rPr>
      </w:pPr>
    </w:p>
    <w:p w14:paraId="13506E03" w14:textId="77777777" w:rsidR="00C25C69" w:rsidRPr="00F5793D" w:rsidRDefault="00C25C69">
      <w:pPr>
        <w:rPr>
          <w:rFonts w:ascii="Arial" w:hAnsi="Arial" w:cs="Arial"/>
          <w:b/>
          <w:bCs/>
          <w:sz w:val="22"/>
          <w:szCs w:val="22"/>
        </w:rPr>
      </w:pPr>
    </w:p>
    <w:p w14:paraId="4CE7B727" w14:textId="678AFBCE" w:rsidR="00D6262F" w:rsidRPr="00F5793D" w:rsidRDefault="00362B7F" w:rsidP="00F5793D">
      <w:pPr>
        <w:pBdr>
          <w:top w:val="single" w:sz="4" w:space="1" w:color="auto"/>
          <w:left w:val="single" w:sz="4" w:space="4" w:color="auto"/>
          <w:bottom w:val="single" w:sz="4" w:space="1" w:color="auto"/>
          <w:right w:val="single" w:sz="4" w:space="4" w:color="auto"/>
        </w:pBdr>
        <w:rPr>
          <w:rFonts w:ascii="Arial" w:hAnsi="Arial" w:cs="Arial"/>
          <w:b/>
          <w:bCs/>
          <w:sz w:val="22"/>
          <w:szCs w:val="22"/>
        </w:rPr>
      </w:pPr>
      <w:r w:rsidRPr="00F5793D">
        <w:rPr>
          <w:rFonts w:ascii="Arial" w:hAnsi="Arial" w:cs="Arial"/>
          <w:b/>
          <w:bCs/>
          <w:sz w:val="22"/>
          <w:szCs w:val="22"/>
        </w:rPr>
        <w:t>4</w:t>
      </w:r>
      <w:r w:rsidR="00D6262F" w:rsidRPr="00F5793D">
        <w:rPr>
          <w:rFonts w:ascii="Arial" w:hAnsi="Arial" w:cs="Arial"/>
          <w:b/>
          <w:bCs/>
          <w:sz w:val="22"/>
          <w:szCs w:val="22"/>
        </w:rPr>
        <w:t xml:space="preserve"> – Customer archives legacy data – No Migration to Convercent</w:t>
      </w:r>
    </w:p>
    <w:p w14:paraId="706A401C" w14:textId="6E7F446B" w:rsidR="00D6262F" w:rsidRPr="00F5793D" w:rsidRDefault="00D6262F" w:rsidP="00F5793D">
      <w:pPr>
        <w:pBdr>
          <w:top w:val="single" w:sz="4" w:space="1" w:color="auto"/>
          <w:left w:val="single" w:sz="4" w:space="4" w:color="auto"/>
          <w:bottom w:val="single" w:sz="4" w:space="1" w:color="auto"/>
          <w:right w:val="single" w:sz="4" w:space="4" w:color="auto"/>
        </w:pBdr>
        <w:rPr>
          <w:rFonts w:ascii="Arial" w:hAnsi="Arial" w:cs="Arial"/>
          <w:sz w:val="22"/>
          <w:szCs w:val="22"/>
        </w:rPr>
      </w:pPr>
      <w:r w:rsidRPr="00F5793D">
        <w:rPr>
          <w:rFonts w:ascii="Arial" w:hAnsi="Arial" w:cs="Arial"/>
          <w:sz w:val="22"/>
          <w:szCs w:val="22"/>
        </w:rPr>
        <w:t>Customers can archive their legacy data and maintains that archive for future reference. It is not migrated to Convercent and will not show in the Convercent system</w:t>
      </w:r>
      <w:r w:rsidR="009E22DD" w:rsidRPr="00F5793D">
        <w:rPr>
          <w:rFonts w:ascii="Arial" w:hAnsi="Arial" w:cs="Arial"/>
          <w:sz w:val="22"/>
          <w:szCs w:val="22"/>
        </w:rPr>
        <w:t xml:space="preserve">, only cases reported through Convercent are maintained. </w:t>
      </w:r>
    </w:p>
    <w:p w14:paraId="14AC12AB" w14:textId="768B7994" w:rsidR="009E22DD" w:rsidRPr="00F5793D" w:rsidRDefault="009E22DD" w:rsidP="00F5793D">
      <w:pPr>
        <w:pBdr>
          <w:top w:val="single" w:sz="4" w:space="1" w:color="auto"/>
          <w:left w:val="single" w:sz="4" w:space="4" w:color="auto"/>
          <w:bottom w:val="single" w:sz="4" w:space="1" w:color="auto"/>
          <w:right w:val="single" w:sz="4" w:space="4" w:color="auto"/>
        </w:pBdr>
        <w:rPr>
          <w:rFonts w:ascii="Arial" w:hAnsi="Arial" w:cs="Arial"/>
          <w:sz w:val="22"/>
          <w:szCs w:val="22"/>
        </w:rPr>
      </w:pPr>
    </w:p>
    <w:p w14:paraId="5FC429B6" w14:textId="2370B07D" w:rsidR="009E22DD" w:rsidRPr="00F5793D" w:rsidRDefault="009E22DD" w:rsidP="00F5793D">
      <w:pPr>
        <w:pBdr>
          <w:top w:val="single" w:sz="4" w:space="1" w:color="auto"/>
          <w:left w:val="single" w:sz="4" w:space="4" w:color="auto"/>
          <w:bottom w:val="single" w:sz="4" w:space="1" w:color="auto"/>
          <w:right w:val="single" w:sz="4" w:space="4" w:color="auto"/>
        </w:pBdr>
        <w:rPr>
          <w:rFonts w:ascii="Arial" w:hAnsi="Arial" w:cs="Arial"/>
          <w:sz w:val="22"/>
          <w:szCs w:val="22"/>
        </w:rPr>
      </w:pPr>
      <w:r w:rsidRPr="00F5793D">
        <w:rPr>
          <w:rFonts w:ascii="Arial" w:hAnsi="Arial" w:cs="Arial"/>
          <w:sz w:val="22"/>
          <w:szCs w:val="22"/>
        </w:rPr>
        <w:t xml:space="preserve">For many customers, whilst they have the need to maintain their legacy data, their legacy system did not offer the functionality that Convercent offers, so they may not have legacy data they want to migrate to Convercent and decide to just have the archive as their point of historical reference. </w:t>
      </w:r>
    </w:p>
    <w:p w14:paraId="4F780E0C" w14:textId="68D29D0A" w:rsidR="009E22DD" w:rsidRPr="00F5793D" w:rsidRDefault="009E22DD" w:rsidP="00D6262F">
      <w:pPr>
        <w:rPr>
          <w:rFonts w:ascii="Arial" w:hAnsi="Arial" w:cs="Arial"/>
          <w:sz w:val="22"/>
          <w:szCs w:val="22"/>
        </w:rPr>
      </w:pPr>
    </w:p>
    <w:p w14:paraId="54AC7793" w14:textId="77777777" w:rsidR="004C75B9" w:rsidRPr="00F5793D" w:rsidRDefault="004C75B9">
      <w:pPr>
        <w:rPr>
          <w:rFonts w:ascii="Arial" w:hAnsi="Arial" w:cs="Arial"/>
          <w:b/>
          <w:bCs/>
          <w:sz w:val="22"/>
          <w:szCs w:val="22"/>
        </w:rPr>
      </w:pPr>
      <w:r w:rsidRPr="00F5793D">
        <w:rPr>
          <w:rFonts w:ascii="Arial" w:hAnsi="Arial" w:cs="Arial"/>
          <w:b/>
          <w:bCs/>
          <w:sz w:val="22"/>
          <w:szCs w:val="22"/>
        </w:rPr>
        <w:br w:type="page"/>
      </w:r>
    </w:p>
    <w:p w14:paraId="72DF694A" w14:textId="6EEEA7E9" w:rsidR="00CE3762" w:rsidRPr="00F5793D" w:rsidRDefault="00CE3762" w:rsidP="00D6262F">
      <w:pPr>
        <w:rPr>
          <w:rFonts w:ascii="Arial" w:hAnsi="Arial" w:cs="Arial"/>
          <w:b/>
          <w:bCs/>
          <w:sz w:val="22"/>
          <w:szCs w:val="22"/>
          <w:u w:val="single"/>
        </w:rPr>
      </w:pPr>
      <w:r w:rsidRPr="00F5793D">
        <w:rPr>
          <w:rFonts w:ascii="Arial" w:hAnsi="Arial" w:cs="Arial"/>
          <w:b/>
          <w:bCs/>
          <w:sz w:val="22"/>
          <w:szCs w:val="22"/>
          <w:u w:val="single"/>
        </w:rPr>
        <w:lastRenderedPageBreak/>
        <w:t>Migration Overview</w:t>
      </w:r>
    </w:p>
    <w:p w14:paraId="7271C2FB" w14:textId="77777777" w:rsidR="00CE3762" w:rsidRPr="00F5793D" w:rsidRDefault="00CE3762" w:rsidP="00D6262F">
      <w:pPr>
        <w:rPr>
          <w:rFonts w:ascii="Arial" w:hAnsi="Arial" w:cs="Arial"/>
          <w:sz w:val="22"/>
          <w:szCs w:val="22"/>
        </w:rPr>
      </w:pPr>
    </w:p>
    <w:tbl>
      <w:tblPr>
        <w:tblStyle w:val="TableGrid"/>
        <w:tblW w:w="10405" w:type="dxa"/>
        <w:jc w:val="center"/>
        <w:tblLook w:val="04A0" w:firstRow="1" w:lastRow="0" w:firstColumn="1" w:lastColumn="0" w:noHBand="0" w:noVBand="1"/>
      </w:tblPr>
      <w:tblGrid>
        <w:gridCol w:w="3724"/>
        <w:gridCol w:w="1766"/>
        <w:gridCol w:w="1564"/>
        <w:gridCol w:w="1665"/>
        <w:gridCol w:w="1686"/>
      </w:tblGrid>
      <w:tr w:rsidR="00362B7F" w:rsidRPr="00F5793D" w14:paraId="743FA912" w14:textId="77777777" w:rsidTr="004C75B9">
        <w:trPr>
          <w:trHeight w:val="431"/>
          <w:jc w:val="center"/>
        </w:trPr>
        <w:tc>
          <w:tcPr>
            <w:tcW w:w="3724" w:type="dxa"/>
            <w:tcBorders>
              <w:top w:val="nil"/>
              <w:left w:val="nil"/>
            </w:tcBorders>
            <w:vAlign w:val="center"/>
          </w:tcPr>
          <w:p w14:paraId="7E718B85" w14:textId="77777777" w:rsidR="00362B7F" w:rsidRPr="00F5793D" w:rsidRDefault="00362B7F" w:rsidP="00AC2566">
            <w:pPr>
              <w:jc w:val="center"/>
              <w:rPr>
                <w:rFonts w:ascii="Arial" w:hAnsi="Arial" w:cs="Arial"/>
                <w:b/>
                <w:bCs/>
                <w:sz w:val="22"/>
                <w:szCs w:val="22"/>
              </w:rPr>
            </w:pPr>
          </w:p>
        </w:tc>
        <w:tc>
          <w:tcPr>
            <w:tcW w:w="6681" w:type="dxa"/>
            <w:gridSpan w:val="4"/>
          </w:tcPr>
          <w:p w14:paraId="3D1BF2D5" w14:textId="711106B2" w:rsidR="00362B7F" w:rsidRPr="00F5793D" w:rsidRDefault="00362B7F" w:rsidP="00AC2566">
            <w:pPr>
              <w:jc w:val="center"/>
              <w:rPr>
                <w:rFonts w:ascii="Arial" w:hAnsi="Arial" w:cs="Arial"/>
                <w:b/>
                <w:bCs/>
                <w:sz w:val="22"/>
                <w:szCs w:val="22"/>
              </w:rPr>
            </w:pPr>
            <w:r w:rsidRPr="00F5793D">
              <w:rPr>
                <w:rFonts w:ascii="Arial" w:hAnsi="Arial" w:cs="Arial"/>
                <w:b/>
                <w:bCs/>
                <w:sz w:val="22"/>
                <w:szCs w:val="22"/>
              </w:rPr>
              <w:t>Migration Type</w:t>
            </w:r>
          </w:p>
        </w:tc>
      </w:tr>
      <w:tr w:rsidR="00536A70" w:rsidRPr="00F5793D" w14:paraId="69E6F006" w14:textId="77777777" w:rsidTr="00F5793D">
        <w:trPr>
          <w:trHeight w:val="588"/>
          <w:jc w:val="center"/>
        </w:trPr>
        <w:tc>
          <w:tcPr>
            <w:tcW w:w="3724" w:type="dxa"/>
            <w:vAlign w:val="center"/>
          </w:tcPr>
          <w:p w14:paraId="2575FF1B" w14:textId="36F5DA18" w:rsidR="00362B7F" w:rsidRPr="00F5793D" w:rsidRDefault="00362B7F" w:rsidP="00AC2566">
            <w:pPr>
              <w:rPr>
                <w:rFonts w:ascii="Arial" w:hAnsi="Arial" w:cs="Arial"/>
                <w:sz w:val="22"/>
                <w:szCs w:val="22"/>
              </w:rPr>
            </w:pPr>
            <w:r w:rsidRPr="00F5793D">
              <w:rPr>
                <w:rFonts w:ascii="Arial" w:hAnsi="Arial" w:cs="Arial"/>
                <w:b/>
                <w:bCs/>
                <w:sz w:val="22"/>
                <w:szCs w:val="22"/>
              </w:rPr>
              <w:t>File / Data Availability in Convercent</w:t>
            </w:r>
          </w:p>
        </w:tc>
        <w:tc>
          <w:tcPr>
            <w:tcW w:w="1766" w:type="dxa"/>
            <w:vAlign w:val="center"/>
          </w:tcPr>
          <w:p w14:paraId="36080288" w14:textId="77777777" w:rsidR="00362B7F" w:rsidRPr="00F5793D" w:rsidRDefault="00362B7F" w:rsidP="00AC2566">
            <w:pPr>
              <w:jc w:val="center"/>
              <w:rPr>
                <w:rFonts w:ascii="Arial" w:hAnsi="Arial" w:cs="Arial"/>
                <w:b/>
                <w:bCs/>
                <w:sz w:val="22"/>
                <w:szCs w:val="22"/>
              </w:rPr>
            </w:pPr>
            <w:r w:rsidRPr="00F5793D">
              <w:rPr>
                <w:rFonts w:ascii="Arial" w:hAnsi="Arial" w:cs="Arial"/>
                <w:b/>
                <w:bCs/>
                <w:sz w:val="22"/>
                <w:szCs w:val="22"/>
              </w:rPr>
              <w:t>Basic</w:t>
            </w:r>
          </w:p>
          <w:p w14:paraId="3AC86F06" w14:textId="4C99741B" w:rsidR="00362B7F" w:rsidRPr="00F5793D" w:rsidRDefault="00362B7F" w:rsidP="00AC2566">
            <w:pPr>
              <w:jc w:val="center"/>
              <w:rPr>
                <w:rFonts w:ascii="Arial" w:hAnsi="Arial" w:cs="Arial"/>
                <w:b/>
                <w:bCs/>
                <w:sz w:val="22"/>
                <w:szCs w:val="22"/>
              </w:rPr>
            </w:pPr>
            <w:r w:rsidRPr="00F5793D">
              <w:rPr>
                <w:rFonts w:ascii="Arial" w:hAnsi="Arial" w:cs="Arial"/>
                <w:b/>
                <w:bCs/>
                <w:sz w:val="22"/>
                <w:szCs w:val="22"/>
              </w:rPr>
              <w:t>Migration</w:t>
            </w:r>
          </w:p>
        </w:tc>
        <w:tc>
          <w:tcPr>
            <w:tcW w:w="1564" w:type="dxa"/>
            <w:vAlign w:val="center"/>
          </w:tcPr>
          <w:p w14:paraId="2E5F58BB" w14:textId="77777777" w:rsidR="00362B7F" w:rsidRPr="00F5793D" w:rsidRDefault="00362B7F" w:rsidP="00362B7F">
            <w:pPr>
              <w:jc w:val="center"/>
              <w:rPr>
                <w:rFonts w:ascii="Arial" w:hAnsi="Arial" w:cs="Arial"/>
                <w:b/>
                <w:bCs/>
                <w:sz w:val="22"/>
                <w:szCs w:val="22"/>
              </w:rPr>
            </w:pPr>
            <w:r w:rsidRPr="00F5793D">
              <w:rPr>
                <w:rFonts w:ascii="Arial" w:hAnsi="Arial" w:cs="Arial"/>
                <w:b/>
                <w:bCs/>
                <w:sz w:val="22"/>
                <w:szCs w:val="22"/>
              </w:rPr>
              <w:t>Advanced</w:t>
            </w:r>
          </w:p>
          <w:p w14:paraId="521CC703" w14:textId="35FC6299" w:rsidR="00362B7F" w:rsidRPr="00F5793D" w:rsidRDefault="00362B7F" w:rsidP="00362B7F">
            <w:pPr>
              <w:jc w:val="center"/>
              <w:rPr>
                <w:rFonts w:ascii="Arial" w:hAnsi="Arial" w:cs="Arial"/>
                <w:b/>
                <w:bCs/>
                <w:sz w:val="22"/>
                <w:szCs w:val="22"/>
              </w:rPr>
            </w:pPr>
            <w:r w:rsidRPr="00F5793D">
              <w:rPr>
                <w:rFonts w:ascii="Arial" w:hAnsi="Arial" w:cs="Arial"/>
                <w:b/>
                <w:bCs/>
                <w:sz w:val="22"/>
                <w:szCs w:val="22"/>
              </w:rPr>
              <w:t>Migration</w:t>
            </w:r>
          </w:p>
        </w:tc>
        <w:tc>
          <w:tcPr>
            <w:tcW w:w="1665" w:type="dxa"/>
            <w:vAlign w:val="center"/>
          </w:tcPr>
          <w:p w14:paraId="1F962B31" w14:textId="77777777" w:rsidR="00362B7F" w:rsidRPr="00F5793D" w:rsidRDefault="00362B7F" w:rsidP="00AC2566">
            <w:pPr>
              <w:jc w:val="center"/>
              <w:rPr>
                <w:rFonts w:ascii="Arial" w:hAnsi="Arial" w:cs="Arial"/>
                <w:b/>
                <w:bCs/>
                <w:sz w:val="22"/>
                <w:szCs w:val="22"/>
              </w:rPr>
            </w:pPr>
            <w:r w:rsidRPr="00F5793D">
              <w:rPr>
                <w:rFonts w:ascii="Arial" w:hAnsi="Arial" w:cs="Arial"/>
                <w:b/>
                <w:bCs/>
                <w:sz w:val="22"/>
                <w:szCs w:val="22"/>
              </w:rPr>
              <w:t>Complex</w:t>
            </w:r>
          </w:p>
          <w:p w14:paraId="36580635" w14:textId="7D50CB5A" w:rsidR="00362B7F" w:rsidRPr="00F5793D" w:rsidRDefault="00362B7F" w:rsidP="00AC2566">
            <w:pPr>
              <w:jc w:val="center"/>
              <w:rPr>
                <w:rFonts w:ascii="Arial" w:hAnsi="Arial" w:cs="Arial"/>
                <w:b/>
                <w:bCs/>
                <w:sz w:val="22"/>
                <w:szCs w:val="22"/>
              </w:rPr>
            </w:pPr>
            <w:r w:rsidRPr="00F5793D">
              <w:rPr>
                <w:rFonts w:ascii="Arial" w:hAnsi="Arial" w:cs="Arial"/>
                <w:b/>
                <w:bCs/>
                <w:sz w:val="22"/>
                <w:szCs w:val="22"/>
              </w:rPr>
              <w:t>Migration</w:t>
            </w:r>
          </w:p>
        </w:tc>
        <w:tc>
          <w:tcPr>
            <w:tcW w:w="1686" w:type="dxa"/>
            <w:tcBorders>
              <w:bottom w:val="single" w:sz="4" w:space="0" w:color="auto"/>
            </w:tcBorders>
            <w:vAlign w:val="center"/>
          </w:tcPr>
          <w:p w14:paraId="1A0039E1" w14:textId="77777777" w:rsidR="00362B7F" w:rsidRPr="00F5793D" w:rsidRDefault="00362B7F" w:rsidP="00AC2566">
            <w:pPr>
              <w:jc w:val="center"/>
              <w:rPr>
                <w:rFonts w:ascii="Arial" w:hAnsi="Arial" w:cs="Arial"/>
                <w:b/>
                <w:bCs/>
                <w:sz w:val="22"/>
                <w:szCs w:val="22"/>
              </w:rPr>
            </w:pPr>
            <w:r w:rsidRPr="00F5793D">
              <w:rPr>
                <w:rFonts w:ascii="Arial" w:hAnsi="Arial" w:cs="Arial"/>
                <w:b/>
                <w:bCs/>
                <w:sz w:val="22"/>
                <w:szCs w:val="22"/>
              </w:rPr>
              <w:t>No</w:t>
            </w:r>
          </w:p>
          <w:p w14:paraId="69F2EE9A" w14:textId="2C4624D8" w:rsidR="00362B7F" w:rsidRPr="00F5793D" w:rsidRDefault="00362B7F" w:rsidP="00AC2566">
            <w:pPr>
              <w:jc w:val="center"/>
              <w:rPr>
                <w:rFonts w:ascii="Arial" w:hAnsi="Arial" w:cs="Arial"/>
                <w:b/>
                <w:bCs/>
                <w:sz w:val="22"/>
                <w:szCs w:val="22"/>
              </w:rPr>
            </w:pPr>
            <w:r w:rsidRPr="00F5793D">
              <w:rPr>
                <w:rFonts w:ascii="Arial" w:hAnsi="Arial" w:cs="Arial"/>
                <w:b/>
                <w:bCs/>
                <w:sz w:val="22"/>
                <w:szCs w:val="22"/>
              </w:rPr>
              <w:t>Migration</w:t>
            </w:r>
          </w:p>
        </w:tc>
      </w:tr>
      <w:tr w:rsidR="00536A70" w:rsidRPr="00F5793D" w14:paraId="409000D3" w14:textId="77777777" w:rsidTr="00F5793D">
        <w:trPr>
          <w:trHeight w:val="751"/>
          <w:jc w:val="center"/>
        </w:trPr>
        <w:tc>
          <w:tcPr>
            <w:tcW w:w="3724" w:type="dxa"/>
            <w:vAlign w:val="center"/>
          </w:tcPr>
          <w:p w14:paraId="5B92FCAE" w14:textId="5F091D9B" w:rsidR="00362B7F" w:rsidRPr="00F5793D" w:rsidRDefault="00362B7F" w:rsidP="00AC2566">
            <w:pPr>
              <w:rPr>
                <w:rFonts w:ascii="Arial" w:hAnsi="Arial" w:cs="Arial"/>
                <w:sz w:val="22"/>
                <w:szCs w:val="22"/>
              </w:rPr>
            </w:pPr>
            <w:r w:rsidRPr="00F5793D">
              <w:rPr>
                <w:rFonts w:ascii="Arial" w:hAnsi="Arial" w:cs="Arial"/>
                <w:sz w:val="22"/>
                <w:szCs w:val="22"/>
              </w:rPr>
              <w:t xml:space="preserve">Legacy </w:t>
            </w:r>
            <w:r w:rsidR="004C75B9" w:rsidRPr="00F5793D">
              <w:rPr>
                <w:rFonts w:ascii="Arial" w:hAnsi="Arial" w:cs="Arial"/>
                <w:sz w:val="22"/>
                <w:szCs w:val="22"/>
              </w:rPr>
              <w:t xml:space="preserve">Metric </w:t>
            </w:r>
            <w:r w:rsidRPr="00F5793D">
              <w:rPr>
                <w:rFonts w:ascii="Arial" w:hAnsi="Arial" w:cs="Arial"/>
                <w:sz w:val="22"/>
                <w:szCs w:val="22"/>
              </w:rPr>
              <w:t>Data available in Convercent Insights</w:t>
            </w:r>
          </w:p>
        </w:tc>
        <w:tc>
          <w:tcPr>
            <w:tcW w:w="1766" w:type="dxa"/>
            <w:vAlign w:val="center"/>
          </w:tcPr>
          <w:p w14:paraId="30F48BA2" w14:textId="30B038CF" w:rsidR="00362B7F" w:rsidRPr="00F5793D" w:rsidRDefault="00362B7F" w:rsidP="00AC2566">
            <w:pPr>
              <w:jc w:val="center"/>
              <w:rPr>
                <w:rFonts w:ascii="Arial" w:hAnsi="Arial" w:cs="Arial"/>
                <w:b/>
                <w:bCs/>
                <w:color w:val="00B050"/>
                <w:sz w:val="22"/>
                <w:szCs w:val="22"/>
              </w:rPr>
            </w:pPr>
            <w:r w:rsidRPr="00F5793D">
              <w:rPr>
                <w:rFonts w:ascii="Segoe UI Symbol" w:hAnsi="Segoe UI Symbol" w:cs="Segoe UI Symbol"/>
                <w:b/>
                <w:bCs/>
                <w:color w:val="00B050"/>
                <w:sz w:val="22"/>
                <w:szCs w:val="22"/>
                <w:shd w:val="clear" w:color="auto" w:fill="FFFFFF"/>
              </w:rPr>
              <w:t>✓</w:t>
            </w:r>
          </w:p>
        </w:tc>
        <w:tc>
          <w:tcPr>
            <w:tcW w:w="1564" w:type="dxa"/>
            <w:vAlign w:val="center"/>
          </w:tcPr>
          <w:p w14:paraId="19C1CC46" w14:textId="54B1EC9A" w:rsidR="00362B7F" w:rsidRPr="00F5793D" w:rsidRDefault="008059A2" w:rsidP="004C75B9">
            <w:pPr>
              <w:jc w:val="center"/>
              <w:rPr>
                <w:rFonts w:ascii="Arial" w:hAnsi="Arial" w:cs="Arial"/>
                <w:b/>
                <w:bCs/>
                <w:color w:val="00B050"/>
                <w:sz w:val="22"/>
                <w:szCs w:val="22"/>
                <w:shd w:val="clear" w:color="auto" w:fill="FFFFFF"/>
              </w:rPr>
            </w:pPr>
            <w:r w:rsidRPr="00F5793D">
              <w:rPr>
                <w:rFonts w:ascii="Segoe UI Symbol" w:hAnsi="Segoe UI Symbol" w:cs="Segoe UI Symbol"/>
                <w:b/>
                <w:bCs/>
                <w:color w:val="00B050"/>
                <w:sz w:val="22"/>
                <w:szCs w:val="22"/>
                <w:shd w:val="clear" w:color="auto" w:fill="FFFFFF"/>
              </w:rPr>
              <w:t>✓</w:t>
            </w:r>
          </w:p>
        </w:tc>
        <w:tc>
          <w:tcPr>
            <w:tcW w:w="1665" w:type="dxa"/>
            <w:vAlign w:val="center"/>
          </w:tcPr>
          <w:p w14:paraId="309D9953" w14:textId="350B9E39" w:rsidR="00362B7F" w:rsidRPr="00F5793D" w:rsidRDefault="00362B7F" w:rsidP="00AC2566">
            <w:pPr>
              <w:jc w:val="center"/>
              <w:rPr>
                <w:rFonts w:ascii="Arial" w:hAnsi="Arial" w:cs="Arial"/>
                <w:color w:val="00B050"/>
                <w:sz w:val="22"/>
                <w:szCs w:val="22"/>
              </w:rPr>
            </w:pPr>
            <w:r w:rsidRPr="00F5793D">
              <w:rPr>
                <w:rFonts w:ascii="Segoe UI Symbol" w:hAnsi="Segoe UI Symbol" w:cs="Segoe UI Symbol"/>
                <w:b/>
                <w:bCs/>
                <w:color w:val="00B050"/>
                <w:sz w:val="22"/>
                <w:szCs w:val="22"/>
                <w:shd w:val="clear" w:color="auto" w:fill="FFFFFF"/>
              </w:rPr>
              <w:t>✓</w:t>
            </w:r>
          </w:p>
        </w:tc>
        <w:tc>
          <w:tcPr>
            <w:tcW w:w="1686" w:type="dxa"/>
            <w:shd w:val="clear" w:color="auto" w:fill="BFBFBF" w:themeFill="background1" w:themeFillShade="BF"/>
            <w:vAlign w:val="center"/>
          </w:tcPr>
          <w:p w14:paraId="290FC5F8" w14:textId="77777777" w:rsidR="00362B7F" w:rsidRPr="00F5793D" w:rsidRDefault="00362B7F" w:rsidP="00AC2566">
            <w:pPr>
              <w:jc w:val="center"/>
              <w:rPr>
                <w:rFonts w:ascii="Arial" w:hAnsi="Arial" w:cs="Arial"/>
                <w:sz w:val="22"/>
                <w:szCs w:val="22"/>
              </w:rPr>
            </w:pPr>
          </w:p>
        </w:tc>
      </w:tr>
      <w:tr w:rsidR="00536A70" w:rsidRPr="00F5793D" w14:paraId="2792D1E5" w14:textId="77777777" w:rsidTr="00F5793D">
        <w:trPr>
          <w:trHeight w:val="588"/>
          <w:jc w:val="center"/>
        </w:trPr>
        <w:tc>
          <w:tcPr>
            <w:tcW w:w="3724" w:type="dxa"/>
            <w:vAlign w:val="center"/>
          </w:tcPr>
          <w:p w14:paraId="6F7C62D6" w14:textId="7E23705B" w:rsidR="00362B7F" w:rsidRPr="00F5793D" w:rsidRDefault="00362B7F" w:rsidP="00AC2566">
            <w:pPr>
              <w:rPr>
                <w:rFonts w:ascii="Arial" w:hAnsi="Arial" w:cs="Arial"/>
                <w:sz w:val="22"/>
                <w:szCs w:val="22"/>
              </w:rPr>
            </w:pPr>
            <w:r w:rsidRPr="00F5793D">
              <w:rPr>
                <w:rFonts w:ascii="Arial" w:hAnsi="Arial" w:cs="Arial"/>
                <w:sz w:val="22"/>
                <w:szCs w:val="22"/>
              </w:rPr>
              <w:t xml:space="preserve">Legacy </w:t>
            </w:r>
            <w:r w:rsidR="004C75B9" w:rsidRPr="00F5793D">
              <w:rPr>
                <w:rFonts w:ascii="Arial" w:hAnsi="Arial" w:cs="Arial"/>
                <w:sz w:val="22"/>
                <w:szCs w:val="22"/>
              </w:rPr>
              <w:t xml:space="preserve">Metric </w:t>
            </w:r>
            <w:r w:rsidRPr="00F5793D">
              <w:rPr>
                <w:rFonts w:ascii="Arial" w:hAnsi="Arial" w:cs="Arial"/>
                <w:sz w:val="22"/>
                <w:szCs w:val="22"/>
              </w:rPr>
              <w:t>Data available in Convercent Case Manager</w:t>
            </w:r>
          </w:p>
        </w:tc>
        <w:tc>
          <w:tcPr>
            <w:tcW w:w="1766" w:type="dxa"/>
            <w:vAlign w:val="center"/>
          </w:tcPr>
          <w:p w14:paraId="11E890D3" w14:textId="337FFA27" w:rsidR="00362B7F" w:rsidRPr="00F5793D" w:rsidRDefault="00362B7F" w:rsidP="00AC2566">
            <w:pPr>
              <w:jc w:val="center"/>
              <w:rPr>
                <w:rFonts w:ascii="Arial" w:hAnsi="Arial" w:cs="Arial"/>
                <w:color w:val="00B050"/>
                <w:sz w:val="22"/>
                <w:szCs w:val="22"/>
              </w:rPr>
            </w:pPr>
            <w:r w:rsidRPr="00F5793D">
              <w:rPr>
                <w:rFonts w:ascii="Segoe UI Symbol" w:hAnsi="Segoe UI Symbol" w:cs="Segoe UI Symbol"/>
                <w:b/>
                <w:bCs/>
                <w:color w:val="00B050"/>
                <w:sz w:val="22"/>
                <w:szCs w:val="22"/>
                <w:shd w:val="clear" w:color="auto" w:fill="FFFFFF"/>
              </w:rPr>
              <w:t>✓</w:t>
            </w:r>
          </w:p>
        </w:tc>
        <w:tc>
          <w:tcPr>
            <w:tcW w:w="1564" w:type="dxa"/>
            <w:vAlign w:val="center"/>
          </w:tcPr>
          <w:p w14:paraId="644D7447" w14:textId="48CEAFA1" w:rsidR="00362B7F" w:rsidRPr="00F5793D" w:rsidRDefault="008059A2" w:rsidP="004C75B9">
            <w:pPr>
              <w:jc w:val="center"/>
              <w:rPr>
                <w:rFonts w:ascii="Arial" w:hAnsi="Arial" w:cs="Arial"/>
                <w:b/>
                <w:bCs/>
                <w:color w:val="00B050"/>
                <w:sz w:val="22"/>
                <w:szCs w:val="22"/>
                <w:shd w:val="clear" w:color="auto" w:fill="FFFFFF"/>
              </w:rPr>
            </w:pPr>
            <w:r w:rsidRPr="00F5793D">
              <w:rPr>
                <w:rFonts w:ascii="Segoe UI Symbol" w:hAnsi="Segoe UI Symbol" w:cs="Segoe UI Symbol"/>
                <w:b/>
                <w:bCs/>
                <w:color w:val="00B050"/>
                <w:sz w:val="22"/>
                <w:szCs w:val="22"/>
                <w:shd w:val="clear" w:color="auto" w:fill="FFFFFF"/>
              </w:rPr>
              <w:t>✓</w:t>
            </w:r>
          </w:p>
        </w:tc>
        <w:tc>
          <w:tcPr>
            <w:tcW w:w="1665" w:type="dxa"/>
            <w:vAlign w:val="center"/>
          </w:tcPr>
          <w:p w14:paraId="2208A37B" w14:textId="3AC64B8F" w:rsidR="00362B7F" w:rsidRPr="00F5793D" w:rsidRDefault="00362B7F" w:rsidP="00AC2566">
            <w:pPr>
              <w:jc w:val="center"/>
              <w:rPr>
                <w:rFonts w:ascii="Arial" w:hAnsi="Arial" w:cs="Arial"/>
                <w:color w:val="00B050"/>
                <w:sz w:val="22"/>
                <w:szCs w:val="22"/>
              </w:rPr>
            </w:pPr>
            <w:r w:rsidRPr="00F5793D">
              <w:rPr>
                <w:rFonts w:ascii="Segoe UI Symbol" w:hAnsi="Segoe UI Symbol" w:cs="Segoe UI Symbol"/>
                <w:b/>
                <w:bCs/>
                <w:color w:val="00B050"/>
                <w:sz w:val="22"/>
                <w:szCs w:val="22"/>
                <w:shd w:val="clear" w:color="auto" w:fill="FFFFFF"/>
              </w:rPr>
              <w:t>✓</w:t>
            </w:r>
          </w:p>
        </w:tc>
        <w:tc>
          <w:tcPr>
            <w:tcW w:w="1686" w:type="dxa"/>
            <w:shd w:val="clear" w:color="auto" w:fill="BFBFBF" w:themeFill="background1" w:themeFillShade="BF"/>
            <w:vAlign w:val="center"/>
          </w:tcPr>
          <w:p w14:paraId="40745B55" w14:textId="77777777" w:rsidR="00362B7F" w:rsidRPr="00F5793D" w:rsidRDefault="00362B7F" w:rsidP="00AC2566">
            <w:pPr>
              <w:jc w:val="center"/>
              <w:rPr>
                <w:rFonts w:ascii="Arial" w:hAnsi="Arial" w:cs="Arial"/>
                <w:sz w:val="22"/>
                <w:szCs w:val="22"/>
              </w:rPr>
            </w:pPr>
          </w:p>
        </w:tc>
      </w:tr>
      <w:tr w:rsidR="00536A70" w:rsidRPr="00F5793D" w14:paraId="5764F1FC" w14:textId="77777777" w:rsidTr="00F5793D">
        <w:trPr>
          <w:trHeight w:val="588"/>
          <w:jc w:val="center"/>
        </w:trPr>
        <w:tc>
          <w:tcPr>
            <w:tcW w:w="3724" w:type="dxa"/>
            <w:tcBorders>
              <w:bottom w:val="single" w:sz="4" w:space="0" w:color="auto"/>
            </w:tcBorders>
            <w:vAlign w:val="center"/>
          </w:tcPr>
          <w:p w14:paraId="0227BE53" w14:textId="07DF3BD0" w:rsidR="004C75B9" w:rsidRPr="00F5793D" w:rsidRDefault="004C75B9" w:rsidP="004C75B9">
            <w:pPr>
              <w:rPr>
                <w:rFonts w:ascii="Arial" w:hAnsi="Arial" w:cs="Arial"/>
                <w:sz w:val="22"/>
                <w:szCs w:val="22"/>
              </w:rPr>
            </w:pPr>
            <w:r w:rsidRPr="00F5793D">
              <w:rPr>
                <w:rFonts w:ascii="Arial" w:hAnsi="Arial" w:cs="Arial"/>
                <w:sz w:val="22"/>
                <w:szCs w:val="22"/>
              </w:rPr>
              <w:t>Legacy Notes and Messages</w:t>
            </w:r>
            <w:r w:rsidRPr="00F5793D">
              <w:rPr>
                <w:rFonts w:ascii="Arial" w:hAnsi="Arial" w:cs="Arial"/>
                <w:sz w:val="22"/>
                <w:szCs w:val="22"/>
              </w:rPr>
              <w:t xml:space="preserve"> Data </w:t>
            </w:r>
            <w:r w:rsidRPr="00F5793D">
              <w:rPr>
                <w:rFonts w:ascii="Arial" w:hAnsi="Arial" w:cs="Arial"/>
                <w:sz w:val="22"/>
                <w:szCs w:val="22"/>
              </w:rPr>
              <w:t xml:space="preserve">Available in Convercent </w:t>
            </w:r>
            <w:r w:rsidRPr="00F5793D">
              <w:rPr>
                <w:rFonts w:ascii="Arial" w:hAnsi="Arial" w:cs="Arial"/>
                <w:sz w:val="22"/>
                <w:szCs w:val="22"/>
              </w:rPr>
              <w:t>Case Manager</w:t>
            </w:r>
          </w:p>
        </w:tc>
        <w:tc>
          <w:tcPr>
            <w:tcW w:w="1766" w:type="dxa"/>
            <w:tcBorders>
              <w:bottom w:val="single" w:sz="4" w:space="0" w:color="auto"/>
            </w:tcBorders>
            <w:shd w:val="clear" w:color="auto" w:fill="BFBFBF" w:themeFill="background1" w:themeFillShade="BF"/>
            <w:vAlign w:val="center"/>
          </w:tcPr>
          <w:p w14:paraId="49BD256F" w14:textId="77777777" w:rsidR="004C75B9" w:rsidRPr="00F5793D" w:rsidRDefault="004C75B9" w:rsidP="004C75B9">
            <w:pPr>
              <w:jc w:val="center"/>
              <w:rPr>
                <w:rFonts w:ascii="Arial" w:hAnsi="Arial" w:cs="Arial"/>
                <w:sz w:val="22"/>
                <w:szCs w:val="22"/>
              </w:rPr>
            </w:pPr>
          </w:p>
        </w:tc>
        <w:tc>
          <w:tcPr>
            <w:tcW w:w="1564" w:type="dxa"/>
            <w:tcBorders>
              <w:bottom w:val="single" w:sz="4" w:space="0" w:color="auto"/>
            </w:tcBorders>
            <w:vAlign w:val="center"/>
          </w:tcPr>
          <w:p w14:paraId="7851DE67" w14:textId="3A7367B9" w:rsidR="004C75B9" w:rsidRPr="00F5793D" w:rsidRDefault="004C75B9" w:rsidP="004C75B9">
            <w:pPr>
              <w:jc w:val="center"/>
              <w:rPr>
                <w:rFonts w:ascii="Arial" w:hAnsi="Arial" w:cs="Arial"/>
                <w:b/>
                <w:bCs/>
                <w:sz w:val="22"/>
                <w:szCs w:val="22"/>
              </w:rPr>
            </w:pPr>
            <w:r w:rsidRPr="00F5793D">
              <w:rPr>
                <w:rFonts w:ascii="Segoe UI Symbol" w:hAnsi="Segoe UI Symbol" w:cs="Segoe UI Symbol"/>
                <w:b/>
                <w:bCs/>
                <w:color w:val="00B050"/>
                <w:sz w:val="22"/>
                <w:szCs w:val="22"/>
                <w:shd w:val="clear" w:color="auto" w:fill="FFFFFF"/>
              </w:rPr>
              <w:t>✓</w:t>
            </w:r>
          </w:p>
        </w:tc>
        <w:tc>
          <w:tcPr>
            <w:tcW w:w="1665" w:type="dxa"/>
            <w:tcBorders>
              <w:bottom w:val="single" w:sz="4" w:space="0" w:color="auto"/>
            </w:tcBorders>
            <w:vAlign w:val="center"/>
          </w:tcPr>
          <w:p w14:paraId="77CE0668" w14:textId="785EFBCC" w:rsidR="004C75B9" w:rsidRPr="00F5793D" w:rsidRDefault="004C75B9" w:rsidP="004C75B9">
            <w:pPr>
              <w:jc w:val="center"/>
              <w:rPr>
                <w:rFonts w:ascii="Arial" w:hAnsi="Arial" w:cs="Arial"/>
                <w:b/>
                <w:bCs/>
                <w:color w:val="00B050"/>
                <w:sz w:val="22"/>
                <w:szCs w:val="22"/>
                <w:shd w:val="clear" w:color="auto" w:fill="FFFFFF"/>
              </w:rPr>
            </w:pPr>
            <w:r w:rsidRPr="00F5793D">
              <w:rPr>
                <w:rFonts w:ascii="Segoe UI Symbol" w:hAnsi="Segoe UI Symbol" w:cs="Segoe UI Symbol"/>
                <w:b/>
                <w:bCs/>
                <w:color w:val="00B050"/>
                <w:sz w:val="22"/>
                <w:szCs w:val="22"/>
                <w:shd w:val="clear" w:color="auto" w:fill="FFFFFF"/>
              </w:rPr>
              <w:t>✓</w:t>
            </w:r>
          </w:p>
        </w:tc>
        <w:tc>
          <w:tcPr>
            <w:tcW w:w="1686" w:type="dxa"/>
            <w:tcBorders>
              <w:bottom w:val="single" w:sz="4" w:space="0" w:color="auto"/>
            </w:tcBorders>
            <w:shd w:val="clear" w:color="auto" w:fill="BFBFBF" w:themeFill="background1" w:themeFillShade="BF"/>
            <w:vAlign w:val="center"/>
          </w:tcPr>
          <w:p w14:paraId="35D8C0B0" w14:textId="77777777" w:rsidR="004C75B9" w:rsidRPr="00F5793D" w:rsidRDefault="004C75B9" w:rsidP="004C75B9">
            <w:pPr>
              <w:jc w:val="center"/>
              <w:rPr>
                <w:rFonts w:ascii="Arial" w:hAnsi="Arial" w:cs="Arial"/>
                <w:sz w:val="22"/>
                <w:szCs w:val="22"/>
              </w:rPr>
            </w:pPr>
          </w:p>
        </w:tc>
      </w:tr>
      <w:tr w:rsidR="00536A70" w:rsidRPr="00F5793D" w14:paraId="3606FD02" w14:textId="77777777" w:rsidTr="00F5793D">
        <w:trPr>
          <w:trHeight w:val="588"/>
          <w:jc w:val="center"/>
        </w:trPr>
        <w:tc>
          <w:tcPr>
            <w:tcW w:w="3724" w:type="dxa"/>
            <w:tcBorders>
              <w:bottom w:val="single" w:sz="4" w:space="0" w:color="auto"/>
            </w:tcBorders>
            <w:vAlign w:val="center"/>
          </w:tcPr>
          <w:p w14:paraId="5B7AE7AE" w14:textId="352F6960" w:rsidR="004C75B9" w:rsidRPr="00F5793D" w:rsidRDefault="004C75B9" w:rsidP="004C75B9">
            <w:pPr>
              <w:rPr>
                <w:rFonts w:ascii="Arial" w:hAnsi="Arial" w:cs="Arial"/>
                <w:sz w:val="22"/>
                <w:szCs w:val="22"/>
              </w:rPr>
            </w:pPr>
            <w:r w:rsidRPr="00F5793D">
              <w:rPr>
                <w:rFonts w:ascii="Arial" w:hAnsi="Arial" w:cs="Arial"/>
                <w:sz w:val="22"/>
                <w:szCs w:val="22"/>
              </w:rPr>
              <w:t>Legacy Attachments available in Convercent Case Manager</w:t>
            </w:r>
          </w:p>
        </w:tc>
        <w:tc>
          <w:tcPr>
            <w:tcW w:w="1766" w:type="dxa"/>
            <w:tcBorders>
              <w:bottom w:val="single" w:sz="4" w:space="0" w:color="auto"/>
            </w:tcBorders>
            <w:shd w:val="clear" w:color="auto" w:fill="BFBFBF" w:themeFill="background1" w:themeFillShade="BF"/>
            <w:vAlign w:val="center"/>
          </w:tcPr>
          <w:p w14:paraId="1516E085" w14:textId="77777777" w:rsidR="004C75B9" w:rsidRPr="00F5793D" w:rsidRDefault="004C75B9" w:rsidP="004C75B9">
            <w:pPr>
              <w:jc w:val="center"/>
              <w:rPr>
                <w:rFonts w:ascii="Arial" w:hAnsi="Arial" w:cs="Arial"/>
                <w:sz w:val="22"/>
                <w:szCs w:val="22"/>
              </w:rPr>
            </w:pPr>
          </w:p>
        </w:tc>
        <w:tc>
          <w:tcPr>
            <w:tcW w:w="1564" w:type="dxa"/>
            <w:tcBorders>
              <w:bottom w:val="single" w:sz="4" w:space="0" w:color="auto"/>
            </w:tcBorders>
            <w:shd w:val="clear" w:color="auto" w:fill="BFBFBF" w:themeFill="background1" w:themeFillShade="BF"/>
          </w:tcPr>
          <w:p w14:paraId="6FFC587B" w14:textId="77777777" w:rsidR="004C75B9" w:rsidRPr="00F5793D" w:rsidRDefault="004C75B9" w:rsidP="004C75B9">
            <w:pPr>
              <w:jc w:val="center"/>
              <w:rPr>
                <w:rFonts w:ascii="Arial" w:hAnsi="Arial" w:cs="Arial"/>
                <w:sz w:val="22"/>
                <w:szCs w:val="22"/>
              </w:rPr>
            </w:pPr>
          </w:p>
        </w:tc>
        <w:tc>
          <w:tcPr>
            <w:tcW w:w="1665" w:type="dxa"/>
            <w:tcBorders>
              <w:bottom w:val="single" w:sz="4" w:space="0" w:color="auto"/>
            </w:tcBorders>
            <w:vAlign w:val="center"/>
          </w:tcPr>
          <w:p w14:paraId="29B00DC8" w14:textId="0A72C500" w:rsidR="004C75B9" w:rsidRPr="00F5793D" w:rsidRDefault="004C75B9" w:rsidP="004C75B9">
            <w:pPr>
              <w:jc w:val="center"/>
              <w:rPr>
                <w:rFonts w:ascii="Arial" w:hAnsi="Arial" w:cs="Arial"/>
                <w:b/>
                <w:bCs/>
                <w:color w:val="00B050"/>
                <w:sz w:val="22"/>
                <w:szCs w:val="22"/>
                <w:shd w:val="clear" w:color="auto" w:fill="FFFFFF"/>
              </w:rPr>
            </w:pPr>
            <w:r w:rsidRPr="00F5793D">
              <w:rPr>
                <w:rFonts w:ascii="Segoe UI Symbol" w:hAnsi="Segoe UI Symbol" w:cs="Segoe UI Symbol"/>
                <w:b/>
                <w:bCs/>
                <w:color w:val="00B050"/>
                <w:sz w:val="22"/>
                <w:szCs w:val="22"/>
                <w:shd w:val="clear" w:color="auto" w:fill="FFFFFF"/>
              </w:rPr>
              <w:t>✓</w:t>
            </w:r>
          </w:p>
        </w:tc>
        <w:tc>
          <w:tcPr>
            <w:tcW w:w="1686" w:type="dxa"/>
            <w:tcBorders>
              <w:bottom w:val="single" w:sz="4" w:space="0" w:color="auto"/>
            </w:tcBorders>
            <w:shd w:val="clear" w:color="auto" w:fill="BFBFBF" w:themeFill="background1" w:themeFillShade="BF"/>
            <w:vAlign w:val="center"/>
          </w:tcPr>
          <w:p w14:paraId="620D85B9" w14:textId="77777777" w:rsidR="004C75B9" w:rsidRPr="00F5793D" w:rsidRDefault="004C75B9" w:rsidP="004C75B9">
            <w:pPr>
              <w:jc w:val="center"/>
              <w:rPr>
                <w:rFonts w:ascii="Arial" w:hAnsi="Arial" w:cs="Arial"/>
                <w:sz w:val="22"/>
                <w:szCs w:val="22"/>
              </w:rPr>
            </w:pPr>
          </w:p>
        </w:tc>
      </w:tr>
      <w:tr w:rsidR="00536A70" w:rsidRPr="00F5793D" w14:paraId="32D2061F" w14:textId="77777777" w:rsidTr="00F5793D">
        <w:trPr>
          <w:trHeight w:val="892"/>
          <w:jc w:val="center"/>
        </w:trPr>
        <w:tc>
          <w:tcPr>
            <w:tcW w:w="3724" w:type="dxa"/>
            <w:shd w:val="clear" w:color="auto" w:fill="FFFFFF" w:themeFill="background1"/>
            <w:vAlign w:val="center"/>
          </w:tcPr>
          <w:p w14:paraId="668EE99D" w14:textId="77777777" w:rsidR="004C75B9" w:rsidRPr="00F5793D" w:rsidRDefault="004C75B9" w:rsidP="004C75B9">
            <w:pPr>
              <w:rPr>
                <w:rFonts w:ascii="Arial" w:hAnsi="Arial" w:cs="Arial"/>
                <w:sz w:val="22"/>
                <w:szCs w:val="22"/>
              </w:rPr>
            </w:pPr>
            <w:r w:rsidRPr="00F5793D">
              <w:rPr>
                <w:rFonts w:ascii="Arial" w:hAnsi="Arial" w:cs="Arial"/>
                <w:sz w:val="22"/>
                <w:szCs w:val="22"/>
              </w:rPr>
              <w:t xml:space="preserve">Purpose of Archive </w:t>
            </w:r>
          </w:p>
          <w:p w14:paraId="01EE6BEE" w14:textId="77777777" w:rsidR="004C75B9" w:rsidRPr="00F5793D" w:rsidRDefault="004C75B9" w:rsidP="004C75B9">
            <w:pPr>
              <w:rPr>
                <w:rFonts w:ascii="Arial" w:hAnsi="Arial" w:cs="Arial"/>
                <w:sz w:val="22"/>
                <w:szCs w:val="22"/>
              </w:rPr>
            </w:pPr>
            <w:r w:rsidRPr="00F5793D">
              <w:rPr>
                <w:rFonts w:ascii="Arial" w:hAnsi="Arial" w:cs="Arial"/>
                <w:sz w:val="22"/>
                <w:szCs w:val="22"/>
              </w:rPr>
              <w:t>(hosted by the customer)</w:t>
            </w:r>
          </w:p>
          <w:p w14:paraId="369BF1B7" w14:textId="7FEB537A" w:rsidR="004C75B9" w:rsidRPr="00F5793D" w:rsidRDefault="004C75B9" w:rsidP="004C75B9">
            <w:pPr>
              <w:rPr>
                <w:rFonts w:ascii="Arial" w:hAnsi="Arial" w:cs="Arial"/>
                <w:sz w:val="22"/>
                <w:szCs w:val="22"/>
              </w:rPr>
            </w:pPr>
          </w:p>
        </w:tc>
        <w:tc>
          <w:tcPr>
            <w:tcW w:w="1766" w:type="dxa"/>
            <w:shd w:val="clear" w:color="auto" w:fill="FFFFFF" w:themeFill="background1"/>
            <w:vAlign w:val="center"/>
          </w:tcPr>
          <w:p w14:paraId="1794D113" w14:textId="5709531C" w:rsidR="004C75B9" w:rsidRPr="00F5793D" w:rsidRDefault="004C75B9" w:rsidP="004C75B9">
            <w:pPr>
              <w:jc w:val="center"/>
              <w:rPr>
                <w:rFonts w:ascii="Arial" w:hAnsi="Arial" w:cs="Arial"/>
                <w:sz w:val="20"/>
                <w:szCs w:val="20"/>
              </w:rPr>
            </w:pPr>
            <w:r w:rsidRPr="00F5793D">
              <w:rPr>
                <w:rFonts w:ascii="Arial" w:hAnsi="Arial" w:cs="Arial"/>
                <w:sz w:val="20"/>
                <w:szCs w:val="20"/>
              </w:rPr>
              <w:t xml:space="preserve">Access to </w:t>
            </w:r>
            <w:r w:rsidR="00536A70" w:rsidRPr="00F5793D">
              <w:rPr>
                <w:rFonts w:ascii="Arial" w:hAnsi="Arial" w:cs="Arial"/>
                <w:sz w:val="20"/>
                <w:szCs w:val="20"/>
              </w:rPr>
              <w:t xml:space="preserve">notes, messages, </w:t>
            </w:r>
            <w:r w:rsidRPr="00F5793D">
              <w:rPr>
                <w:rFonts w:ascii="Arial" w:hAnsi="Arial" w:cs="Arial"/>
                <w:sz w:val="20"/>
                <w:szCs w:val="20"/>
              </w:rPr>
              <w:t>attachments / Backup</w:t>
            </w:r>
          </w:p>
        </w:tc>
        <w:tc>
          <w:tcPr>
            <w:tcW w:w="1564" w:type="dxa"/>
            <w:shd w:val="clear" w:color="auto" w:fill="FFFFFF" w:themeFill="background1"/>
          </w:tcPr>
          <w:p w14:paraId="7DEAD38B" w14:textId="5686A169" w:rsidR="004C75B9" w:rsidRPr="00F5793D" w:rsidRDefault="00536A70" w:rsidP="004C75B9">
            <w:pPr>
              <w:jc w:val="center"/>
              <w:rPr>
                <w:rFonts w:ascii="Arial" w:hAnsi="Arial" w:cs="Arial"/>
                <w:sz w:val="20"/>
                <w:szCs w:val="20"/>
              </w:rPr>
            </w:pPr>
            <w:r w:rsidRPr="00F5793D">
              <w:rPr>
                <w:rFonts w:ascii="Arial" w:hAnsi="Arial" w:cs="Arial"/>
                <w:sz w:val="20"/>
                <w:szCs w:val="20"/>
              </w:rPr>
              <w:t>Access to attachments / Backup</w:t>
            </w:r>
          </w:p>
        </w:tc>
        <w:tc>
          <w:tcPr>
            <w:tcW w:w="1665" w:type="dxa"/>
            <w:shd w:val="clear" w:color="auto" w:fill="FFFFFF" w:themeFill="background1"/>
            <w:vAlign w:val="center"/>
          </w:tcPr>
          <w:p w14:paraId="43258657" w14:textId="3EDB4B76" w:rsidR="004C75B9" w:rsidRPr="00F5793D" w:rsidRDefault="004C75B9" w:rsidP="004C75B9">
            <w:pPr>
              <w:jc w:val="center"/>
              <w:rPr>
                <w:rFonts w:ascii="Arial" w:hAnsi="Arial" w:cs="Arial"/>
                <w:sz w:val="20"/>
                <w:szCs w:val="20"/>
              </w:rPr>
            </w:pPr>
            <w:r w:rsidRPr="00F5793D">
              <w:rPr>
                <w:rFonts w:ascii="Arial" w:hAnsi="Arial" w:cs="Arial"/>
                <w:sz w:val="20"/>
                <w:szCs w:val="20"/>
              </w:rPr>
              <w:t>Backup</w:t>
            </w:r>
          </w:p>
        </w:tc>
        <w:tc>
          <w:tcPr>
            <w:tcW w:w="1686" w:type="dxa"/>
            <w:shd w:val="clear" w:color="auto" w:fill="FFFFFF" w:themeFill="background1"/>
            <w:vAlign w:val="center"/>
          </w:tcPr>
          <w:p w14:paraId="119F998A" w14:textId="5036222B" w:rsidR="004C75B9" w:rsidRPr="00F5793D" w:rsidRDefault="004C75B9" w:rsidP="004C75B9">
            <w:pPr>
              <w:jc w:val="center"/>
              <w:rPr>
                <w:rFonts w:ascii="Arial" w:hAnsi="Arial" w:cs="Arial"/>
                <w:sz w:val="20"/>
                <w:szCs w:val="20"/>
              </w:rPr>
            </w:pPr>
            <w:r w:rsidRPr="00F5793D">
              <w:rPr>
                <w:rFonts w:ascii="Arial" w:hAnsi="Arial" w:cs="Arial"/>
                <w:sz w:val="20"/>
                <w:szCs w:val="20"/>
              </w:rPr>
              <w:t>Access to data</w:t>
            </w:r>
            <w:r w:rsidR="00536A70" w:rsidRPr="00F5793D">
              <w:rPr>
                <w:rFonts w:ascii="Arial" w:hAnsi="Arial" w:cs="Arial"/>
                <w:sz w:val="20"/>
                <w:szCs w:val="20"/>
              </w:rPr>
              <w:t xml:space="preserve">, notes, messages, </w:t>
            </w:r>
            <w:r w:rsidRPr="00F5793D">
              <w:rPr>
                <w:rFonts w:ascii="Arial" w:hAnsi="Arial" w:cs="Arial"/>
                <w:sz w:val="20"/>
                <w:szCs w:val="20"/>
              </w:rPr>
              <w:t xml:space="preserve"> attachments / Backup</w:t>
            </w:r>
          </w:p>
        </w:tc>
      </w:tr>
    </w:tbl>
    <w:p w14:paraId="16E89397" w14:textId="25D340CA" w:rsidR="009E22DD" w:rsidRPr="00F5793D" w:rsidRDefault="009E22DD" w:rsidP="00D6262F">
      <w:pPr>
        <w:rPr>
          <w:rFonts w:ascii="Arial" w:hAnsi="Arial" w:cs="Arial"/>
          <w:sz w:val="22"/>
          <w:szCs w:val="22"/>
        </w:rPr>
      </w:pPr>
    </w:p>
    <w:p w14:paraId="3A91E332" w14:textId="01995BC5" w:rsidR="00385FEC" w:rsidRPr="00F5793D" w:rsidRDefault="00536A70" w:rsidP="00536A70">
      <w:pPr>
        <w:rPr>
          <w:rFonts w:ascii="Arial" w:hAnsi="Arial" w:cs="Arial"/>
          <w:b/>
          <w:bCs/>
          <w:sz w:val="22"/>
          <w:szCs w:val="22"/>
        </w:rPr>
      </w:pPr>
      <w:r w:rsidRPr="00F5793D">
        <w:rPr>
          <w:rFonts w:ascii="Arial" w:hAnsi="Arial" w:cs="Arial"/>
          <w:b/>
          <w:bCs/>
          <w:sz w:val="22"/>
          <w:szCs w:val="22"/>
        </w:rPr>
        <w:t xml:space="preserve">Data </w:t>
      </w:r>
      <w:r w:rsidR="00F5793D" w:rsidRPr="00F5793D">
        <w:rPr>
          <w:rFonts w:ascii="Arial" w:hAnsi="Arial" w:cs="Arial"/>
          <w:b/>
          <w:bCs/>
          <w:sz w:val="22"/>
          <w:szCs w:val="22"/>
        </w:rPr>
        <w:t xml:space="preserve">migration </w:t>
      </w:r>
      <w:r w:rsidRPr="00F5793D">
        <w:rPr>
          <w:rFonts w:ascii="Arial" w:hAnsi="Arial" w:cs="Arial"/>
          <w:b/>
          <w:bCs/>
          <w:sz w:val="22"/>
          <w:szCs w:val="22"/>
        </w:rPr>
        <w:t>requirements</w:t>
      </w:r>
    </w:p>
    <w:p w14:paraId="35103052" w14:textId="77777777" w:rsidR="00536A70" w:rsidRPr="00F5793D" w:rsidRDefault="00536A70" w:rsidP="00536A70">
      <w:pPr>
        <w:rPr>
          <w:rFonts w:ascii="Arial" w:hAnsi="Arial" w:cs="Arial"/>
          <w:sz w:val="22"/>
          <w:szCs w:val="22"/>
        </w:rPr>
      </w:pPr>
    </w:p>
    <w:p w14:paraId="39FDAD58" w14:textId="3484009D" w:rsidR="00F5793D" w:rsidRPr="00F5793D" w:rsidRDefault="00536A70" w:rsidP="00536A70">
      <w:pPr>
        <w:rPr>
          <w:rFonts w:ascii="Arial" w:hAnsi="Arial" w:cs="Arial"/>
          <w:sz w:val="22"/>
          <w:szCs w:val="22"/>
        </w:rPr>
      </w:pPr>
      <w:r w:rsidRPr="00F5793D">
        <w:rPr>
          <w:rFonts w:ascii="Arial" w:hAnsi="Arial" w:cs="Arial"/>
          <w:sz w:val="22"/>
          <w:szCs w:val="22"/>
        </w:rPr>
        <w:t xml:space="preserve">Migration packages assume that </w:t>
      </w:r>
      <w:r w:rsidRPr="00536A70">
        <w:rPr>
          <w:rFonts w:ascii="Arial" w:hAnsi="Arial" w:cs="Arial"/>
          <w:sz w:val="22"/>
          <w:szCs w:val="22"/>
        </w:rPr>
        <w:t>legacy files are extracted into a</w:t>
      </w:r>
      <w:r w:rsidR="00F5793D" w:rsidRPr="00F5793D">
        <w:rPr>
          <w:rFonts w:ascii="Arial" w:hAnsi="Arial" w:cs="Arial"/>
          <w:sz w:val="22"/>
          <w:szCs w:val="22"/>
        </w:rPr>
        <w:t xml:space="preserve">n industry </w:t>
      </w:r>
      <w:r w:rsidRPr="00536A70">
        <w:rPr>
          <w:rFonts w:ascii="Arial" w:hAnsi="Arial" w:cs="Arial"/>
          <w:sz w:val="22"/>
          <w:szCs w:val="22"/>
        </w:rPr>
        <w:t>standard file</w:t>
      </w:r>
      <w:r w:rsidR="00F5793D" w:rsidRPr="00F5793D">
        <w:rPr>
          <w:rFonts w:ascii="Arial" w:hAnsi="Arial" w:cs="Arial"/>
          <w:sz w:val="22"/>
          <w:szCs w:val="22"/>
        </w:rPr>
        <w:t>-c</w:t>
      </w:r>
      <w:r w:rsidRPr="00536A70">
        <w:rPr>
          <w:rFonts w:ascii="Arial" w:hAnsi="Arial" w:cs="Arial"/>
          <w:sz w:val="22"/>
          <w:szCs w:val="22"/>
        </w:rPr>
        <w:t>onstruct</w:t>
      </w:r>
      <w:r w:rsidR="00F5793D" w:rsidRPr="00F5793D">
        <w:rPr>
          <w:rFonts w:ascii="Arial" w:hAnsi="Arial" w:cs="Arial"/>
          <w:sz w:val="22"/>
          <w:szCs w:val="22"/>
        </w:rPr>
        <w:t xml:space="preserve">. Generally, this is the case when the files originate from a recognized helpline provider. </w:t>
      </w:r>
    </w:p>
    <w:p w14:paraId="2FF72C96" w14:textId="7F25F57C" w:rsidR="00536A70" w:rsidRPr="00536A70" w:rsidRDefault="00536A70" w:rsidP="00536A70">
      <w:pPr>
        <w:rPr>
          <w:rFonts w:ascii="Arial" w:hAnsi="Arial" w:cs="Arial"/>
          <w:sz w:val="22"/>
          <w:szCs w:val="22"/>
        </w:rPr>
      </w:pPr>
      <w:r w:rsidRPr="00536A70">
        <w:rPr>
          <w:rFonts w:ascii="Arial" w:hAnsi="Arial" w:cs="Arial"/>
          <w:sz w:val="22"/>
          <w:szCs w:val="22"/>
        </w:rPr>
        <w:t xml:space="preserve">If using a </w:t>
      </w:r>
      <w:r w:rsidR="00F5793D" w:rsidRPr="00F5793D">
        <w:rPr>
          <w:rFonts w:ascii="Arial" w:hAnsi="Arial" w:cs="Arial"/>
          <w:sz w:val="22"/>
          <w:szCs w:val="22"/>
        </w:rPr>
        <w:t>non-standard helpline application</w:t>
      </w:r>
      <w:r w:rsidRPr="00536A70">
        <w:rPr>
          <w:rFonts w:ascii="Arial" w:hAnsi="Arial" w:cs="Arial"/>
          <w:sz w:val="22"/>
          <w:szCs w:val="22"/>
        </w:rPr>
        <w:t xml:space="preserve"> or helpline provider </w:t>
      </w:r>
      <w:r w:rsidR="00F5793D" w:rsidRPr="00F5793D">
        <w:rPr>
          <w:rFonts w:ascii="Arial" w:hAnsi="Arial" w:cs="Arial"/>
          <w:sz w:val="22"/>
          <w:szCs w:val="22"/>
        </w:rPr>
        <w:t>additional</w:t>
      </w:r>
      <w:r w:rsidRPr="00536A70">
        <w:rPr>
          <w:rFonts w:ascii="Arial" w:hAnsi="Arial" w:cs="Arial"/>
          <w:sz w:val="22"/>
          <w:szCs w:val="22"/>
        </w:rPr>
        <w:t xml:space="preserve"> scop</w:t>
      </w:r>
      <w:r w:rsidR="00F5793D" w:rsidRPr="00F5793D">
        <w:rPr>
          <w:rFonts w:ascii="Arial" w:hAnsi="Arial" w:cs="Arial"/>
          <w:sz w:val="22"/>
          <w:szCs w:val="22"/>
        </w:rPr>
        <w:t xml:space="preserve">ing work / guidance around standard file construct may be required </w:t>
      </w:r>
      <w:r w:rsidRPr="00536A70">
        <w:rPr>
          <w:rFonts w:ascii="Arial" w:hAnsi="Arial" w:cs="Arial"/>
          <w:sz w:val="22"/>
          <w:szCs w:val="22"/>
        </w:rPr>
        <w:t>ahead of the migration.</w:t>
      </w:r>
    </w:p>
    <w:p w14:paraId="2A405C50" w14:textId="0E4919A0" w:rsidR="008059A2" w:rsidRPr="00F5793D" w:rsidRDefault="008059A2">
      <w:pPr>
        <w:rPr>
          <w:rFonts w:ascii="Arial" w:hAnsi="Arial" w:cs="Arial"/>
          <w:sz w:val="22"/>
          <w:szCs w:val="22"/>
        </w:rPr>
      </w:pPr>
    </w:p>
    <w:p w14:paraId="2568B531" w14:textId="3CFBD6C4" w:rsidR="00BC1508" w:rsidRPr="00F5793D" w:rsidRDefault="00BC1508">
      <w:pPr>
        <w:rPr>
          <w:rFonts w:ascii="Arial" w:hAnsi="Arial" w:cs="Arial"/>
          <w:sz w:val="22"/>
          <w:szCs w:val="22"/>
        </w:rPr>
      </w:pPr>
    </w:p>
    <w:sectPr w:rsidR="00BC1508" w:rsidRPr="00F5793D" w:rsidSect="003501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60881"/>
    <w:multiLevelType w:val="multilevel"/>
    <w:tmpl w:val="BA502E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10D77DC"/>
    <w:multiLevelType w:val="multilevel"/>
    <w:tmpl w:val="F4A639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A9F1DB4"/>
    <w:multiLevelType w:val="multilevel"/>
    <w:tmpl w:val="5A7CB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1B21498"/>
    <w:multiLevelType w:val="multilevel"/>
    <w:tmpl w:val="8B8C1C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37D3A7D"/>
    <w:multiLevelType w:val="multilevel"/>
    <w:tmpl w:val="2632B97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E0D5FCC"/>
    <w:multiLevelType w:val="multilevel"/>
    <w:tmpl w:val="DF185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C735187"/>
    <w:multiLevelType w:val="hybridMultilevel"/>
    <w:tmpl w:val="AE42A2F2"/>
    <w:lvl w:ilvl="0" w:tplc="FAE2639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D615355"/>
    <w:multiLevelType w:val="hybridMultilevel"/>
    <w:tmpl w:val="5B1CA948"/>
    <w:lvl w:ilvl="0" w:tplc="55309B6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5"/>
  </w:num>
  <w:num w:numId="6">
    <w:abstractNumId w:val="1"/>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EFE"/>
    <w:rsid w:val="000419FB"/>
    <w:rsid w:val="00064EFE"/>
    <w:rsid w:val="001949B5"/>
    <w:rsid w:val="00202381"/>
    <w:rsid w:val="00205A48"/>
    <w:rsid w:val="00277FDE"/>
    <w:rsid w:val="002B346C"/>
    <w:rsid w:val="003501D2"/>
    <w:rsid w:val="00362B7F"/>
    <w:rsid w:val="00385FEC"/>
    <w:rsid w:val="003A17E4"/>
    <w:rsid w:val="004C75B9"/>
    <w:rsid w:val="00536A70"/>
    <w:rsid w:val="005E0EDC"/>
    <w:rsid w:val="005F2F32"/>
    <w:rsid w:val="005F5561"/>
    <w:rsid w:val="00737B8F"/>
    <w:rsid w:val="007B1F1D"/>
    <w:rsid w:val="008059A2"/>
    <w:rsid w:val="009E22DD"/>
    <w:rsid w:val="00AC2566"/>
    <w:rsid w:val="00B06129"/>
    <w:rsid w:val="00B2264B"/>
    <w:rsid w:val="00BC1508"/>
    <w:rsid w:val="00C25C69"/>
    <w:rsid w:val="00CC57AF"/>
    <w:rsid w:val="00CE3762"/>
    <w:rsid w:val="00D6262F"/>
    <w:rsid w:val="00DA7CB6"/>
    <w:rsid w:val="00E44844"/>
    <w:rsid w:val="00E51D6D"/>
    <w:rsid w:val="00E80E0F"/>
    <w:rsid w:val="00EB59A4"/>
    <w:rsid w:val="00F579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6DC73"/>
  <w15:chartTrackingRefBased/>
  <w15:docId w15:val="{B4942A68-D33B-314E-AC08-87C4CB3E9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150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E22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2264B"/>
    <w:rPr>
      <w:sz w:val="16"/>
      <w:szCs w:val="16"/>
    </w:rPr>
  </w:style>
  <w:style w:type="paragraph" w:styleId="CommentText">
    <w:name w:val="annotation text"/>
    <w:basedOn w:val="Normal"/>
    <w:link w:val="CommentTextChar"/>
    <w:uiPriority w:val="99"/>
    <w:semiHidden/>
    <w:unhideWhenUsed/>
    <w:rsid w:val="00B2264B"/>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B2264B"/>
    <w:rPr>
      <w:sz w:val="20"/>
      <w:szCs w:val="20"/>
    </w:rPr>
  </w:style>
  <w:style w:type="paragraph" w:styleId="CommentSubject">
    <w:name w:val="annotation subject"/>
    <w:basedOn w:val="CommentText"/>
    <w:next w:val="CommentText"/>
    <w:link w:val="CommentSubjectChar"/>
    <w:uiPriority w:val="99"/>
    <w:semiHidden/>
    <w:unhideWhenUsed/>
    <w:rsid w:val="00B2264B"/>
    <w:rPr>
      <w:b/>
      <w:bCs/>
    </w:rPr>
  </w:style>
  <w:style w:type="character" w:customStyle="1" w:styleId="CommentSubjectChar">
    <w:name w:val="Comment Subject Char"/>
    <w:basedOn w:val="CommentTextChar"/>
    <w:link w:val="CommentSubject"/>
    <w:uiPriority w:val="99"/>
    <w:semiHidden/>
    <w:rsid w:val="00B2264B"/>
    <w:rPr>
      <w:b/>
      <w:bCs/>
      <w:sz w:val="20"/>
      <w:szCs w:val="20"/>
    </w:rPr>
  </w:style>
  <w:style w:type="paragraph" w:styleId="BalloonText">
    <w:name w:val="Balloon Text"/>
    <w:basedOn w:val="Normal"/>
    <w:link w:val="BalloonTextChar"/>
    <w:uiPriority w:val="99"/>
    <w:semiHidden/>
    <w:unhideWhenUsed/>
    <w:rsid w:val="00B2264B"/>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B2264B"/>
    <w:rPr>
      <w:rFonts w:ascii="Segoe UI" w:hAnsi="Segoe UI" w:cs="Segoe UI"/>
      <w:sz w:val="18"/>
      <w:szCs w:val="18"/>
    </w:rPr>
  </w:style>
  <w:style w:type="paragraph" w:styleId="Revision">
    <w:name w:val="Revision"/>
    <w:hidden/>
    <w:uiPriority w:val="99"/>
    <w:semiHidden/>
    <w:rsid w:val="00C25C69"/>
  </w:style>
  <w:style w:type="paragraph" w:styleId="ListParagraph">
    <w:name w:val="List Paragraph"/>
    <w:basedOn w:val="Normal"/>
    <w:uiPriority w:val="34"/>
    <w:qFormat/>
    <w:rsid w:val="00362B7F"/>
    <w:pPr>
      <w:ind w:left="720"/>
    </w:pPr>
    <w:rPr>
      <w:rFonts w:ascii="Calibri" w:eastAsiaTheme="minorHAnsi" w:hAnsi="Calibri" w:cs="Calibri"/>
      <w:sz w:val="22"/>
      <w:szCs w:val="22"/>
    </w:rPr>
  </w:style>
  <w:style w:type="character" w:customStyle="1" w:styleId="apple-converted-space">
    <w:name w:val="apple-converted-space"/>
    <w:basedOn w:val="DefaultParagraphFont"/>
    <w:rsid w:val="00BC15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068606">
      <w:bodyDiv w:val="1"/>
      <w:marLeft w:val="0"/>
      <w:marRight w:val="0"/>
      <w:marTop w:val="0"/>
      <w:marBottom w:val="0"/>
      <w:divBdr>
        <w:top w:val="none" w:sz="0" w:space="0" w:color="auto"/>
        <w:left w:val="none" w:sz="0" w:space="0" w:color="auto"/>
        <w:bottom w:val="none" w:sz="0" w:space="0" w:color="auto"/>
        <w:right w:val="none" w:sz="0" w:space="0" w:color="auto"/>
      </w:divBdr>
    </w:div>
    <w:div w:id="270432832">
      <w:bodyDiv w:val="1"/>
      <w:marLeft w:val="0"/>
      <w:marRight w:val="0"/>
      <w:marTop w:val="0"/>
      <w:marBottom w:val="0"/>
      <w:divBdr>
        <w:top w:val="none" w:sz="0" w:space="0" w:color="auto"/>
        <w:left w:val="none" w:sz="0" w:space="0" w:color="auto"/>
        <w:bottom w:val="none" w:sz="0" w:space="0" w:color="auto"/>
        <w:right w:val="none" w:sz="0" w:space="0" w:color="auto"/>
      </w:divBdr>
    </w:div>
    <w:div w:id="332221065">
      <w:bodyDiv w:val="1"/>
      <w:marLeft w:val="0"/>
      <w:marRight w:val="0"/>
      <w:marTop w:val="0"/>
      <w:marBottom w:val="0"/>
      <w:divBdr>
        <w:top w:val="none" w:sz="0" w:space="0" w:color="auto"/>
        <w:left w:val="none" w:sz="0" w:space="0" w:color="auto"/>
        <w:bottom w:val="none" w:sz="0" w:space="0" w:color="auto"/>
        <w:right w:val="none" w:sz="0" w:space="0" w:color="auto"/>
      </w:divBdr>
    </w:div>
    <w:div w:id="517812691">
      <w:bodyDiv w:val="1"/>
      <w:marLeft w:val="0"/>
      <w:marRight w:val="0"/>
      <w:marTop w:val="0"/>
      <w:marBottom w:val="0"/>
      <w:divBdr>
        <w:top w:val="none" w:sz="0" w:space="0" w:color="auto"/>
        <w:left w:val="none" w:sz="0" w:space="0" w:color="auto"/>
        <w:bottom w:val="none" w:sz="0" w:space="0" w:color="auto"/>
        <w:right w:val="none" w:sz="0" w:space="0" w:color="auto"/>
      </w:divBdr>
    </w:div>
    <w:div w:id="697320940">
      <w:bodyDiv w:val="1"/>
      <w:marLeft w:val="0"/>
      <w:marRight w:val="0"/>
      <w:marTop w:val="0"/>
      <w:marBottom w:val="0"/>
      <w:divBdr>
        <w:top w:val="none" w:sz="0" w:space="0" w:color="auto"/>
        <w:left w:val="none" w:sz="0" w:space="0" w:color="auto"/>
        <w:bottom w:val="none" w:sz="0" w:space="0" w:color="auto"/>
        <w:right w:val="none" w:sz="0" w:space="0" w:color="auto"/>
      </w:divBdr>
    </w:div>
    <w:div w:id="1330475822">
      <w:bodyDiv w:val="1"/>
      <w:marLeft w:val="0"/>
      <w:marRight w:val="0"/>
      <w:marTop w:val="0"/>
      <w:marBottom w:val="0"/>
      <w:divBdr>
        <w:top w:val="none" w:sz="0" w:space="0" w:color="auto"/>
        <w:left w:val="none" w:sz="0" w:space="0" w:color="auto"/>
        <w:bottom w:val="none" w:sz="0" w:space="0" w:color="auto"/>
        <w:right w:val="none" w:sz="0" w:space="0" w:color="auto"/>
      </w:divBdr>
    </w:div>
    <w:div w:id="1774861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0AAF7C56DEB378469D10D572B5EBC31E" ma:contentTypeVersion="10" ma:contentTypeDescription="Create a new document." ma:contentTypeScope="" ma:versionID="ac02b96655dd2506e7818e78cabc185a">
  <xsd:schema xmlns:xsd="http://www.w3.org/2001/XMLSchema" xmlns:xs="http://www.w3.org/2001/XMLSchema" xmlns:p="http://schemas.microsoft.com/office/2006/metadata/properties" xmlns:ns3="f3b4ac24-c1a1-4420-bb48-cd13b33c9f11" targetNamespace="http://schemas.microsoft.com/office/2006/metadata/properties" ma:root="true" ma:fieldsID="396c8acfaa0d9d654626ff92e6003dce" ns3:_="">
    <xsd:import namespace="f3b4ac24-c1a1-4420-bb48-cd13b33c9f1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b4ac24-c1a1-4420-bb48-cd13b33c9f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DE7F62A-8A39-419A-BCAF-1036D5D2CEFF}">
  <ds:schemaRefs>
    <ds:schemaRef ds:uri="http://schemas.microsoft.com/sharepoint/v3/contenttype/forms"/>
  </ds:schemaRefs>
</ds:datastoreItem>
</file>

<file path=customXml/itemProps2.xml><?xml version="1.0" encoding="utf-8"?>
<ds:datastoreItem xmlns:ds="http://schemas.openxmlformats.org/officeDocument/2006/customXml" ds:itemID="{C11D8C80-1817-4F54-94FD-82F3E6BF7D5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D8E15CD-AF50-8144-B1BD-8553B02FFD96}">
  <ds:schemaRefs>
    <ds:schemaRef ds:uri="http://schemas.openxmlformats.org/officeDocument/2006/bibliography"/>
  </ds:schemaRefs>
</ds:datastoreItem>
</file>

<file path=customXml/itemProps4.xml><?xml version="1.0" encoding="utf-8"?>
<ds:datastoreItem xmlns:ds="http://schemas.openxmlformats.org/officeDocument/2006/customXml" ds:itemID="{5DB0542C-CDA2-49AE-8240-FA6048533D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b4ac24-c1a1-4420-bb48-cd13b33c9f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808</Words>
  <Characters>4610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Ellis</dc:creator>
  <cp:keywords/>
  <dc:description/>
  <cp:lastModifiedBy>Greg Ellis</cp:lastModifiedBy>
  <cp:revision>2</cp:revision>
  <dcterms:created xsi:type="dcterms:W3CDTF">2020-03-27T21:52:00Z</dcterms:created>
  <dcterms:modified xsi:type="dcterms:W3CDTF">2020-03-27T21:52:00Z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0x0101000AAF7C56DEB378469D10D572B5EBC31E</vt:lpwstr>
  </property>
</Properties>
</file>